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36CB39" w14:textId="77777777" w:rsidR="008F5BCE" w:rsidRDefault="008F5BCE">
      <w:pPr>
        <w:spacing w:line="240" w:lineRule="auto"/>
        <w:jc w:val="center"/>
        <w:rPr>
          <w:b/>
        </w:rPr>
      </w:pPr>
    </w:p>
    <w:p w14:paraId="591F0367" w14:textId="77777777" w:rsidR="008F5BCE" w:rsidRDefault="00000000">
      <w:pPr>
        <w:spacing w:line="240" w:lineRule="auto"/>
        <w:jc w:val="center"/>
        <w:rPr>
          <w:b/>
        </w:rPr>
      </w:pPr>
      <w:r>
        <w:rPr>
          <w:b/>
        </w:rPr>
        <w:t>MEMBERSHIP CAMPING PUBLIC REPORT (DISCLOSURE REPORT)</w:t>
      </w:r>
    </w:p>
    <w:p w14:paraId="15D25B04" w14:textId="77777777" w:rsidR="008F5BCE" w:rsidRDefault="008F5BCE">
      <w:pPr>
        <w:spacing w:line="240" w:lineRule="auto"/>
        <w:jc w:val="center"/>
        <w:rPr>
          <w:b/>
        </w:rPr>
      </w:pPr>
    </w:p>
    <w:p w14:paraId="41FA5EB4" w14:textId="77777777" w:rsidR="008F5BCE" w:rsidRDefault="008F5BCE">
      <w:pPr>
        <w:rPr>
          <w:sz w:val="20"/>
          <w:szCs w:val="20"/>
        </w:rPr>
      </w:pPr>
    </w:p>
    <w:tbl>
      <w:tblPr>
        <w:tblStyle w:val="a0"/>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650"/>
        <w:gridCol w:w="1935"/>
        <w:gridCol w:w="3600"/>
      </w:tblGrid>
      <w:tr w:rsidR="008F5BCE" w14:paraId="2604BEB3" w14:textId="77777777">
        <w:trPr>
          <w:trHeight w:val="286"/>
          <w:jc w:val="center"/>
        </w:trPr>
        <w:tc>
          <w:tcPr>
            <w:tcW w:w="10755" w:type="dxa"/>
            <w:gridSpan w:val="4"/>
            <w:shd w:val="clear" w:color="auto" w:fill="369992"/>
            <w:tcMar>
              <w:top w:w="86" w:type="dxa"/>
              <w:left w:w="86" w:type="dxa"/>
              <w:bottom w:w="86" w:type="dxa"/>
              <w:right w:w="86" w:type="dxa"/>
            </w:tcMar>
          </w:tcPr>
          <w:p w14:paraId="3D0FE659" w14:textId="77777777" w:rsidR="008F5BCE" w:rsidRDefault="00000000">
            <w:pPr>
              <w:widowControl w:val="0"/>
              <w:spacing w:line="240" w:lineRule="auto"/>
              <w:rPr>
                <w:b/>
                <w:color w:val="FFFFFF"/>
                <w:sz w:val="20"/>
                <w:szCs w:val="20"/>
              </w:rPr>
            </w:pPr>
            <w:r>
              <w:rPr>
                <w:b/>
                <w:color w:val="FFFFFF"/>
                <w:sz w:val="20"/>
                <w:szCs w:val="20"/>
              </w:rPr>
              <w:t>MEMBERSHIP CAMPGROUND INFORMATION</w:t>
            </w:r>
          </w:p>
        </w:tc>
      </w:tr>
      <w:tr w:rsidR="008F5BCE" w14:paraId="72B53EA7" w14:textId="77777777">
        <w:trPr>
          <w:trHeight w:val="286"/>
          <w:jc w:val="center"/>
        </w:trPr>
        <w:tc>
          <w:tcPr>
            <w:tcW w:w="10755" w:type="dxa"/>
            <w:gridSpan w:val="4"/>
            <w:shd w:val="clear" w:color="auto" w:fill="auto"/>
            <w:tcMar>
              <w:top w:w="43" w:type="dxa"/>
              <w:left w:w="43" w:type="dxa"/>
              <w:bottom w:w="43" w:type="dxa"/>
              <w:right w:w="43" w:type="dxa"/>
            </w:tcMar>
          </w:tcPr>
          <w:p w14:paraId="1F148EC1" w14:textId="77777777" w:rsidR="008F5BCE" w:rsidRDefault="00000000">
            <w:pPr>
              <w:widowControl w:val="0"/>
              <w:spacing w:line="240" w:lineRule="auto"/>
              <w:rPr>
                <w:sz w:val="20"/>
                <w:szCs w:val="20"/>
              </w:rPr>
            </w:pPr>
            <w:r>
              <w:rPr>
                <w:sz w:val="20"/>
                <w:szCs w:val="20"/>
              </w:rPr>
              <w:t>Legal Name:</w:t>
            </w:r>
          </w:p>
        </w:tc>
      </w:tr>
      <w:tr w:rsidR="008F5BCE" w14:paraId="3C9D2847" w14:textId="77777777">
        <w:trPr>
          <w:trHeight w:val="286"/>
          <w:jc w:val="center"/>
        </w:trPr>
        <w:tc>
          <w:tcPr>
            <w:tcW w:w="10755" w:type="dxa"/>
            <w:gridSpan w:val="4"/>
            <w:shd w:val="clear" w:color="auto" w:fill="auto"/>
            <w:tcMar>
              <w:top w:w="43" w:type="dxa"/>
              <w:left w:w="43" w:type="dxa"/>
              <w:bottom w:w="43" w:type="dxa"/>
              <w:right w:w="43" w:type="dxa"/>
            </w:tcMar>
          </w:tcPr>
          <w:p w14:paraId="2E3183E1" w14:textId="77777777" w:rsidR="008F5BCE" w:rsidRDefault="00000000">
            <w:pPr>
              <w:widowControl w:val="0"/>
              <w:spacing w:line="240" w:lineRule="auto"/>
              <w:rPr>
                <w:sz w:val="20"/>
                <w:szCs w:val="20"/>
              </w:rPr>
            </w:pPr>
            <w:r>
              <w:rPr>
                <w:sz w:val="20"/>
                <w:szCs w:val="20"/>
              </w:rPr>
              <w:t>Marketing Name:</w:t>
            </w:r>
          </w:p>
        </w:tc>
      </w:tr>
      <w:tr w:rsidR="008F5BCE" w14:paraId="21BD65C2" w14:textId="77777777">
        <w:trPr>
          <w:trHeight w:val="286"/>
          <w:jc w:val="center"/>
        </w:trPr>
        <w:tc>
          <w:tcPr>
            <w:tcW w:w="5220" w:type="dxa"/>
            <w:gridSpan w:val="2"/>
            <w:shd w:val="clear" w:color="auto" w:fill="auto"/>
            <w:tcMar>
              <w:top w:w="43" w:type="dxa"/>
              <w:left w:w="43" w:type="dxa"/>
              <w:bottom w:w="43" w:type="dxa"/>
              <w:right w:w="43" w:type="dxa"/>
            </w:tcMar>
          </w:tcPr>
          <w:p w14:paraId="741F07F4" w14:textId="77777777" w:rsidR="008F5BCE" w:rsidRDefault="00000000">
            <w:pPr>
              <w:widowControl w:val="0"/>
              <w:spacing w:line="240" w:lineRule="auto"/>
              <w:rPr>
                <w:sz w:val="20"/>
                <w:szCs w:val="20"/>
              </w:rPr>
            </w:pPr>
            <w:r>
              <w:rPr>
                <w:sz w:val="20"/>
                <w:szCs w:val="20"/>
              </w:rPr>
              <w:t>Registration Number:</w:t>
            </w:r>
          </w:p>
        </w:tc>
        <w:tc>
          <w:tcPr>
            <w:tcW w:w="5535" w:type="dxa"/>
            <w:gridSpan w:val="2"/>
            <w:shd w:val="clear" w:color="auto" w:fill="auto"/>
            <w:tcMar>
              <w:top w:w="43" w:type="dxa"/>
              <w:left w:w="43" w:type="dxa"/>
              <w:bottom w:w="43" w:type="dxa"/>
              <w:right w:w="43" w:type="dxa"/>
            </w:tcMar>
          </w:tcPr>
          <w:p w14:paraId="65810583" w14:textId="77777777" w:rsidR="008F5BCE" w:rsidRDefault="00000000">
            <w:pPr>
              <w:widowControl w:val="0"/>
              <w:spacing w:line="240" w:lineRule="auto"/>
              <w:rPr>
                <w:sz w:val="20"/>
                <w:szCs w:val="20"/>
              </w:rPr>
            </w:pPr>
            <w:r>
              <w:rPr>
                <w:sz w:val="20"/>
                <w:szCs w:val="20"/>
              </w:rPr>
              <w:t>Effective Date:</w:t>
            </w:r>
          </w:p>
        </w:tc>
      </w:tr>
      <w:tr w:rsidR="008F5BCE" w14:paraId="59EC9449" w14:textId="77777777">
        <w:trPr>
          <w:trHeight w:val="286"/>
          <w:jc w:val="center"/>
        </w:trPr>
        <w:tc>
          <w:tcPr>
            <w:tcW w:w="10755" w:type="dxa"/>
            <w:gridSpan w:val="4"/>
            <w:shd w:val="clear" w:color="auto" w:fill="auto"/>
            <w:tcMar>
              <w:top w:w="43" w:type="dxa"/>
              <w:left w:w="43" w:type="dxa"/>
              <w:bottom w:w="43" w:type="dxa"/>
              <w:right w:w="43" w:type="dxa"/>
            </w:tcMar>
          </w:tcPr>
          <w:p w14:paraId="79F57DEB" w14:textId="77777777" w:rsidR="008F5BCE" w:rsidRDefault="00000000">
            <w:pPr>
              <w:widowControl w:val="0"/>
              <w:spacing w:line="240" w:lineRule="auto"/>
              <w:rPr>
                <w:sz w:val="20"/>
                <w:szCs w:val="20"/>
              </w:rPr>
            </w:pPr>
            <w:r>
              <w:rPr>
                <w:sz w:val="20"/>
                <w:szCs w:val="20"/>
              </w:rPr>
              <w:t>Developer Name:</w:t>
            </w:r>
          </w:p>
        </w:tc>
      </w:tr>
      <w:tr w:rsidR="008F5BCE" w14:paraId="2ABF3118" w14:textId="77777777">
        <w:trPr>
          <w:trHeight w:val="286"/>
          <w:jc w:val="center"/>
        </w:trPr>
        <w:tc>
          <w:tcPr>
            <w:tcW w:w="10755" w:type="dxa"/>
            <w:gridSpan w:val="4"/>
            <w:shd w:val="clear" w:color="auto" w:fill="auto"/>
            <w:tcMar>
              <w:top w:w="43" w:type="dxa"/>
              <w:left w:w="43" w:type="dxa"/>
              <w:bottom w:w="43" w:type="dxa"/>
              <w:right w:w="43" w:type="dxa"/>
            </w:tcMar>
          </w:tcPr>
          <w:p w14:paraId="64018E5B" w14:textId="77777777" w:rsidR="008F5BCE" w:rsidRDefault="00000000">
            <w:pPr>
              <w:widowControl w:val="0"/>
              <w:spacing w:line="240" w:lineRule="auto"/>
              <w:rPr>
                <w:sz w:val="20"/>
                <w:szCs w:val="20"/>
              </w:rPr>
            </w:pPr>
            <w:r>
              <w:rPr>
                <w:sz w:val="20"/>
                <w:szCs w:val="20"/>
              </w:rPr>
              <w:t>Developer Address:</w:t>
            </w:r>
          </w:p>
        </w:tc>
      </w:tr>
      <w:tr w:rsidR="008F5BCE" w14:paraId="35E0502D" w14:textId="77777777">
        <w:trPr>
          <w:trHeight w:val="286"/>
          <w:jc w:val="center"/>
        </w:trPr>
        <w:tc>
          <w:tcPr>
            <w:tcW w:w="3570" w:type="dxa"/>
            <w:shd w:val="clear" w:color="auto" w:fill="auto"/>
            <w:tcMar>
              <w:top w:w="43" w:type="dxa"/>
              <w:left w:w="43" w:type="dxa"/>
              <w:bottom w:w="43" w:type="dxa"/>
              <w:right w:w="43" w:type="dxa"/>
            </w:tcMar>
          </w:tcPr>
          <w:p w14:paraId="03CB3F1D" w14:textId="77777777" w:rsidR="008F5BCE" w:rsidRDefault="00000000">
            <w:pPr>
              <w:widowControl w:val="0"/>
              <w:spacing w:line="240" w:lineRule="auto"/>
              <w:rPr>
                <w:sz w:val="20"/>
                <w:szCs w:val="20"/>
              </w:rPr>
            </w:pPr>
            <w:r>
              <w:rPr>
                <w:sz w:val="20"/>
                <w:szCs w:val="20"/>
              </w:rPr>
              <w:t>City:</w:t>
            </w:r>
          </w:p>
        </w:tc>
        <w:tc>
          <w:tcPr>
            <w:tcW w:w="3585" w:type="dxa"/>
            <w:gridSpan w:val="2"/>
            <w:shd w:val="clear" w:color="auto" w:fill="auto"/>
            <w:tcMar>
              <w:top w:w="43" w:type="dxa"/>
              <w:left w:w="43" w:type="dxa"/>
              <w:bottom w:w="43" w:type="dxa"/>
              <w:right w:w="43" w:type="dxa"/>
            </w:tcMar>
          </w:tcPr>
          <w:p w14:paraId="2740E366" w14:textId="77777777" w:rsidR="008F5BCE" w:rsidRDefault="00000000">
            <w:pPr>
              <w:widowControl w:val="0"/>
              <w:spacing w:line="240" w:lineRule="auto"/>
              <w:rPr>
                <w:sz w:val="18"/>
                <w:szCs w:val="18"/>
              </w:rPr>
            </w:pPr>
            <w:r>
              <w:rPr>
                <w:sz w:val="18"/>
                <w:szCs w:val="18"/>
              </w:rPr>
              <w:t>State:</w:t>
            </w:r>
          </w:p>
        </w:tc>
        <w:tc>
          <w:tcPr>
            <w:tcW w:w="3600" w:type="dxa"/>
            <w:shd w:val="clear" w:color="auto" w:fill="auto"/>
            <w:tcMar>
              <w:top w:w="43" w:type="dxa"/>
              <w:left w:w="43" w:type="dxa"/>
              <w:bottom w:w="43" w:type="dxa"/>
              <w:right w:w="43" w:type="dxa"/>
            </w:tcMar>
          </w:tcPr>
          <w:p w14:paraId="7F608BCE" w14:textId="77777777" w:rsidR="008F5BCE" w:rsidRDefault="00000000">
            <w:pPr>
              <w:widowControl w:val="0"/>
              <w:spacing w:line="240" w:lineRule="auto"/>
              <w:rPr>
                <w:sz w:val="18"/>
                <w:szCs w:val="18"/>
              </w:rPr>
            </w:pPr>
            <w:r>
              <w:rPr>
                <w:sz w:val="18"/>
                <w:szCs w:val="18"/>
              </w:rPr>
              <w:t>ZIP:</w:t>
            </w:r>
          </w:p>
        </w:tc>
      </w:tr>
    </w:tbl>
    <w:p w14:paraId="7970AF60" w14:textId="77777777" w:rsidR="008F5BCE" w:rsidRDefault="008F5BCE">
      <w:pPr>
        <w:rPr>
          <w:sz w:val="20"/>
          <w:szCs w:val="20"/>
        </w:rPr>
      </w:pPr>
    </w:p>
    <w:p w14:paraId="7304FEB1" w14:textId="77777777" w:rsidR="008F5BCE" w:rsidRDefault="00000000">
      <w:pPr>
        <w:jc w:val="center"/>
        <w:rPr>
          <w:sz w:val="20"/>
          <w:szCs w:val="20"/>
        </w:rPr>
      </w:pPr>
      <w:r>
        <w:rPr>
          <w:sz w:val="20"/>
          <w:szCs w:val="20"/>
        </w:rPr>
        <w:t>PROPERTY REPORT DISCLAIMER</w:t>
      </w:r>
    </w:p>
    <w:p w14:paraId="21ABC038" w14:textId="77777777" w:rsidR="008F5BCE" w:rsidRDefault="008F5BCE">
      <w:pPr>
        <w:rPr>
          <w:sz w:val="20"/>
          <w:szCs w:val="20"/>
        </w:rPr>
      </w:pPr>
    </w:p>
    <w:p w14:paraId="54F9D7D2" w14:textId="77777777" w:rsidR="008F5BCE" w:rsidRDefault="00000000">
      <w:pPr>
        <w:spacing w:line="240" w:lineRule="auto"/>
        <w:rPr>
          <w:b/>
          <w:sz w:val="20"/>
          <w:szCs w:val="20"/>
        </w:rPr>
      </w:pPr>
      <w:r>
        <w:rPr>
          <w:sz w:val="20"/>
          <w:szCs w:val="20"/>
        </w:rPr>
        <w:t>This report is</w:t>
      </w:r>
      <w:r>
        <w:rPr>
          <w:b/>
          <w:sz w:val="20"/>
          <w:szCs w:val="20"/>
        </w:rPr>
        <w:t xml:space="preserve"> NOT A RECOMMENDATION NOR AN ENDORSEMENT </w:t>
      </w:r>
      <w:r>
        <w:rPr>
          <w:sz w:val="20"/>
          <w:szCs w:val="20"/>
        </w:rPr>
        <w:t>by the State of Arizona of the membership camping contract, the operator or the campground but is provided for informational purposes</w:t>
      </w:r>
      <w:r>
        <w:rPr>
          <w:b/>
          <w:sz w:val="20"/>
          <w:szCs w:val="20"/>
        </w:rPr>
        <w:t xml:space="preserve"> ONLY. </w:t>
      </w:r>
    </w:p>
    <w:p w14:paraId="0FD964F7" w14:textId="77777777" w:rsidR="008F5BCE" w:rsidRDefault="008F5BCE" w:rsidP="00ED5066">
      <w:pPr>
        <w:spacing w:line="240" w:lineRule="auto"/>
        <w:jc w:val="center"/>
        <w:rPr>
          <w:b/>
          <w:sz w:val="20"/>
          <w:szCs w:val="20"/>
        </w:rPr>
      </w:pPr>
    </w:p>
    <w:p w14:paraId="22030AC2" w14:textId="77777777" w:rsidR="008F5BCE" w:rsidRDefault="00000000">
      <w:pPr>
        <w:spacing w:line="240" w:lineRule="auto"/>
        <w:rPr>
          <w:b/>
          <w:sz w:val="20"/>
          <w:szCs w:val="20"/>
        </w:rPr>
      </w:pPr>
      <w:r>
        <w:rPr>
          <w:sz w:val="20"/>
          <w:szCs w:val="20"/>
        </w:rPr>
        <w:t>This report reflects information provided by the operator and obtained by the Department in its review process in accordance with the provisions of Title 32, Chapter 20, Article 10, of Arizona Revised Statutes, as amended. The purchaser should verify all facts before signing any documents. The Department has not passed upon the quality or quantity of any improvement or structure and does not assume responsibility in either event.</w:t>
      </w:r>
    </w:p>
    <w:p w14:paraId="69C082B3" w14:textId="77777777" w:rsidR="008F5BCE" w:rsidRDefault="008F5BCE">
      <w:pPr>
        <w:rPr>
          <w:sz w:val="20"/>
          <w:szCs w:val="20"/>
        </w:rPr>
      </w:pPr>
    </w:p>
    <w:p w14:paraId="1962FF25" w14:textId="77777777" w:rsidR="008F5BCE" w:rsidRDefault="00000000">
      <w:pPr>
        <w:pBdr>
          <w:top w:val="nil"/>
          <w:left w:val="nil"/>
          <w:bottom w:val="nil"/>
          <w:right w:val="nil"/>
          <w:between w:val="nil"/>
        </w:pBdr>
        <w:jc w:val="center"/>
        <w:rPr>
          <w:sz w:val="20"/>
          <w:szCs w:val="20"/>
        </w:rPr>
      </w:pPr>
      <w:r>
        <w:rPr>
          <w:sz w:val="20"/>
          <w:szCs w:val="20"/>
        </w:rPr>
        <w:t>PURCHASER’S REVOCATION RIGHTS</w:t>
      </w:r>
    </w:p>
    <w:p w14:paraId="05E2FA6C" w14:textId="77777777" w:rsidR="008F5BCE" w:rsidRDefault="008F5BCE">
      <w:pPr>
        <w:rPr>
          <w:sz w:val="20"/>
          <w:szCs w:val="20"/>
        </w:rPr>
      </w:pPr>
    </w:p>
    <w:p w14:paraId="6FADBBC0" w14:textId="77777777" w:rsidR="008F5BCE" w:rsidRDefault="00000000">
      <w:pPr>
        <w:spacing w:line="240" w:lineRule="auto"/>
        <w:rPr>
          <w:sz w:val="20"/>
          <w:szCs w:val="20"/>
        </w:rPr>
      </w:pPr>
      <w:r>
        <w:rPr>
          <w:sz w:val="20"/>
          <w:szCs w:val="20"/>
        </w:rPr>
        <w:t>A membership camping contract may be canceled by a resident purchaser for any reason any time before midnight of the third business day after the purchaser has signed and received a copy of the contract. A membership camping contract may be canceled by a non-resident purchaser for any reason at any time before midnight of the seventh calendar day after the purchaser has signed and received a copy of the contract. To cancel a contract the purchaser may notify the campground operator of the cancellation in writing, by certified mail return receipt requested, or personal delivery, to an address in this state as specified in the contract. Proof of timely cancellation is satisfied if the certified letter is postmarked on or before midnight of the seventh day. All monies paid pursuant to the canceled contract shall be fully refunded within thirty days of receipt of the notice of cancellation. If the purchaser executes any credit or loan agreement through the campground operator to pay all or part of the camping services, the debt and security instruments shall also be returned within thirty days.</w:t>
      </w:r>
    </w:p>
    <w:p w14:paraId="7708AFA1" w14:textId="77777777" w:rsidR="008F5BCE" w:rsidRDefault="008F5BCE">
      <w:pPr>
        <w:rPr>
          <w:sz w:val="20"/>
          <w:szCs w:val="20"/>
        </w:rPr>
      </w:pPr>
    </w:p>
    <w:tbl>
      <w:tblPr>
        <w:tblStyle w:val="a1"/>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3600"/>
        <w:gridCol w:w="3600"/>
      </w:tblGrid>
      <w:tr w:rsidR="008F5BCE" w14:paraId="69C7664A" w14:textId="77777777">
        <w:trPr>
          <w:trHeight w:val="372"/>
          <w:jc w:val="center"/>
        </w:trPr>
        <w:tc>
          <w:tcPr>
            <w:tcW w:w="10785" w:type="dxa"/>
            <w:gridSpan w:val="3"/>
            <w:shd w:val="clear" w:color="auto" w:fill="369992"/>
            <w:tcMar>
              <w:top w:w="86" w:type="dxa"/>
              <w:left w:w="86" w:type="dxa"/>
              <w:bottom w:w="86" w:type="dxa"/>
              <w:right w:w="86" w:type="dxa"/>
            </w:tcMar>
          </w:tcPr>
          <w:p w14:paraId="2346AF7F" w14:textId="77777777" w:rsidR="008F5BCE" w:rsidRDefault="00000000">
            <w:pPr>
              <w:spacing w:line="240" w:lineRule="auto"/>
              <w:jc w:val="both"/>
              <w:rPr>
                <w:color w:val="FFFFFF"/>
                <w:sz w:val="20"/>
                <w:szCs w:val="20"/>
              </w:rPr>
            </w:pPr>
            <w:r>
              <w:rPr>
                <w:b/>
                <w:color w:val="FFFFFF"/>
                <w:sz w:val="20"/>
                <w:szCs w:val="20"/>
              </w:rPr>
              <w:t>MEMBERSHIP CAMPING OPERATOR</w:t>
            </w:r>
          </w:p>
        </w:tc>
      </w:tr>
      <w:tr w:rsidR="008F5BCE" w14:paraId="5F68E497" w14:textId="77777777">
        <w:trPr>
          <w:trHeight w:val="286"/>
          <w:jc w:val="center"/>
        </w:trPr>
        <w:tc>
          <w:tcPr>
            <w:tcW w:w="10785" w:type="dxa"/>
            <w:gridSpan w:val="3"/>
            <w:shd w:val="clear" w:color="auto" w:fill="auto"/>
            <w:tcMar>
              <w:top w:w="43" w:type="dxa"/>
              <w:left w:w="43" w:type="dxa"/>
              <w:bottom w:w="43" w:type="dxa"/>
              <w:right w:w="43" w:type="dxa"/>
            </w:tcMar>
          </w:tcPr>
          <w:p w14:paraId="21AC05D8" w14:textId="77777777" w:rsidR="008F5BCE" w:rsidRDefault="00000000">
            <w:pPr>
              <w:widowControl w:val="0"/>
              <w:spacing w:line="240" w:lineRule="auto"/>
              <w:rPr>
                <w:sz w:val="20"/>
                <w:szCs w:val="20"/>
              </w:rPr>
            </w:pPr>
            <w:r>
              <w:rPr>
                <w:sz w:val="20"/>
                <w:szCs w:val="20"/>
              </w:rPr>
              <w:t>Name:</w:t>
            </w:r>
          </w:p>
        </w:tc>
      </w:tr>
      <w:tr w:rsidR="008F5BCE" w14:paraId="3556807A" w14:textId="77777777">
        <w:trPr>
          <w:trHeight w:val="286"/>
          <w:jc w:val="center"/>
        </w:trPr>
        <w:tc>
          <w:tcPr>
            <w:tcW w:w="10785" w:type="dxa"/>
            <w:gridSpan w:val="3"/>
            <w:shd w:val="clear" w:color="auto" w:fill="auto"/>
            <w:tcMar>
              <w:top w:w="43" w:type="dxa"/>
              <w:left w:w="43" w:type="dxa"/>
              <w:bottom w:w="43" w:type="dxa"/>
              <w:right w:w="43" w:type="dxa"/>
            </w:tcMar>
          </w:tcPr>
          <w:p w14:paraId="56166CBD" w14:textId="77777777" w:rsidR="008F5BCE" w:rsidRDefault="00000000">
            <w:pPr>
              <w:widowControl w:val="0"/>
              <w:spacing w:line="240" w:lineRule="auto"/>
              <w:rPr>
                <w:sz w:val="20"/>
                <w:szCs w:val="20"/>
              </w:rPr>
            </w:pPr>
            <w:r>
              <w:rPr>
                <w:sz w:val="20"/>
                <w:szCs w:val="20"/>
              </w:rPr>
              <w:t>Address:</w:t>
            </w:r>
          </w:p>
        </w:tc>
      </w:tr>
      <w:tr w:rsidR="008F5BCE" w14:paraId="08F85548" w14:textId="77777777">
        <w:trPr>
          <w:trHeight w:val="286"/>
          <w:jc w:val="center"/>
        </w:trPr>
        <w:tc>
          <w:tcPr>
            <w:tcW w:w="3585" w:type="dxa"/>
            <w:shd w:val="clear" w:color="auto" w:fill="auto"/>
            <w:tcMar>
              <w:top w:w="43" w:type="dxa"/>
              <w:left w:w="43" w:type="dxa"/>
              <w:bottom w:w="43" w:type="dxa"/>
              <w:right w:w="43" w:type="dxa"/>
            </w:tcMar>
          </w:tcPr>
          <w:p w14:paraId="528B9EC9" w14:textId="77777777" w:rsidR="008F5BCE" w:rsidRDefault="00000000">
            <w:pPr>
              <w:widowControl w:val="0"/>
              <w:spacing w:line="240" w:lineRule="auto"/>
              <w:rPr>
                <w:sz w:val="20"/>
                <w:szCs w:val="20"/>
              </w:rPr>
            </w:pPr>
            <w:r>
              <w:rPr>
                <w:sz w:val="20"/>
                <w:szCs w:val="20"/>
              </w:rPr>
              <w:t>City:</w:t>
            </w:r>
          </w:p>
        </w:tc>
        <w:tc>
          <w:tcPr>
            <w:tcW w:w="3600" w:type="dxa"/>
            <w:shd w:val="clear" w:color="auto" w:fill="auto"/>
            <w:tcMar>
              <w:top w:w="43" w:type="dxa"/>
              <w:left w:w="43" w:type="dxa"/>
              <w:bottom w:w="43" w:type="dxa"/>
              <w:right w:w="43" w:type="dxa"/>
            </w:tcMar>
          </w:tcPr>
          <w:p w14:paraId="51577663" w14:textId="77777777" w:rsidR="008F5BCE" w:rsidRDefault="00000000">
            <w:pPr>
              <w:widowControl w:val="0"/>
              <w:spacing w:line="240" w:lineRule="auto"/>
              <w:rPr>
                <w:sz w:val="20"/>
                <w:szCs w:val="20"/>
              </w:rPr>
            </w:pPr>
            <w:r>
              <w:rPr>
                <w:sz w:val="20"/>
                <w:szCs w:val="20"/>
              </w:rPr>
              <w:t>State:</w:t>
            </w:r>
          </w:p>
        </w:tc>
        <w:tc>
          <w:tcPr>
            <w:tcW w:w="3600" w:type="dxa"/>
            <w:shd w:val="clear" w:color="auto" w:fill="auto"/>
            <w:tcMar>
              <w:top w:w="43" w:type="dxa"/>
              <w:left w:w="43" w:type="dxa"/>
              <w:bottom w:w="43" w:type="dxa"/>
              <w:right w:w="43" w:type="dxa"/>
            </w:tcMar>
          </w:tcPr>
          <w:p w14:paraId="236586FD" w14:textId="77777777" w:rsidR="008F5BCE" w:rsidRDefault="00000000">
            <w:pPr>
              <w:widowControl w:val="0"/>
              <w:spacing w:line="240" w:lineRule="auto"/>
              <w:rPr>
                <w:sz w:val="18"/>
                <w:szCs w:val="18"/>
              </w:rPr>
            </w:pPr>
            <w:r>
              <w:rPr>
                <w:sz w:val="18"/>
                <w:szCs w:val="18"/>
              </w:rPr>
              <w:t>ZIP:</w:t>
            </w:r>
          </w:p>
        </w:tc>
      </w:tr>
      <w:tr w:rsidR="008F5BCE" w14:paraId="4E77C92C" w14:textId="77777777">
        <w:trPr>
          <w:trHeight w:val="286"/>
          <w:jc w:val="center"/>
        </w:trPr>
        <w:tc>
          <w:tcPr>
            <w:tcW w:w="10785" w:type="dxa"/>
            <w:gridSpan w:val="3"/>
            <w:shd w:val="clear" w:color="auto" w:fill="auto"/>
            <w:tcMar>
              <w:top w:w="43" w:type="dxa"/>
              <w:left w:w="43" w:type="dxa"/>
              <w:bottom w:w="43" w:type="dxa"/>
              <w:right w:w="43" w:type="dxa"/>
            </w:tcMar>
          </w:tcPr>
          <w:p w14:paraId="39EC5591" w14:textId="77777777" w:rsidR="008F5BCE" w:rsidRDefault="00000000">
            <w:pPr>
              <w:widowControl w:val="0"/>
              <w:spacing w:line="240" w:lineRule="auto"/>
              <w:rPr>
                <w:sz w:val="20"/>
                <w:szCs w:val="20"/>
              </w:rPr>
            </w:pPr>
            <w:r>
              <w:rPr>
                <w:sz w:val="20"/>
                <w:szCs w:val="20"/>
              </w:rPr>
              <w:t>Membership Camping Experience:</w:t>
            </w:r>
          </w:p>
          <w:p w14:paraId="379AF362" w14:textId="77777777" w:rsidR="008F5BCE" w:rsidRDefault="008F5BCE">
            <w:pPr>
              <w:widowControl w:val="0"/>
              <w:spacing w:line="240" w:lineRule="auto"/>
              <w:rPr>
                <w:sz w:val="20"/>
                <w:szCs w:val="20"/>
              </w:rPr>
            </w:pPr>
          </w:p>
        </w:tc>
      </w:tr>
    </w:tbl>
    <w:p w14:paraId="576B8333" w14:textId="77777777" w:rsidR="008F5BCE" w:rsidRDefault="008F5BCE">
      <w:pPr>
        <w:rPr>
          <w:sz w:val="20"/>
          <w:szCs w:val="20"/>
        </w:rPr>
      </w:pPr>
    </w:p>
    <w:tbl>
      <w:tblPr>
        <w:tblStyle w:val="a2"/>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3645"/>
        <w:gridCol w:w="3585"/>
      </w:tblGrid>
      <w:tr w:rsidR="008F5BCE" w14:paraId="40B15729" w14:textId="77777777">
        <w:trPr>
          <w:trHeight w:val="372"/>
          <w:jc w:val="center"/>
        </w:trPr>
        <w:tc>
          <w:tcPr>
            <w:tcW w:w="10785" w:type="dxa"/>
            <w:gridSpan w:val="3"/>
            <w:shd w:val="clear" w:color="auto" w:fill="369992"/>
            <w:tcMar>
              <w:top w:w="86" w:type="dxa"/>
              <w:left w:w="86" w:type="dxa"/>
              <w:bottom w:w="86" w:type="dxa"/>
              <w:right w:w="86" w:type="dxa"/>
            </w:tcMar>
          </w:tcPr>
          <w:p w14:paraId="52953223" w14:textId="77777777" w:rsidR="008F5BCE" w:rsidRDefault="00000000">
            <w:pPr>
              <w:spacing w:line="240" w:lineRule="auto"/>
              <w:jc w:val="both"/>
              <w:rPr>
                <w:color w:val="FFFFFF"/>
                <w:sz w:val="20"/>
                <w:szCs w:val="20"/>
              </w:rPr>
            </w:pPr>
            <w:r>
              <w:rPr>
                <w:b/>
                <w:color w:val="FFFFFF"/>
                <w:sz w:val="20"/>
                <w:szCs w:val="20"/>
              </w:rPr>
              <w:t>THE CAMPGROUND</w:t>
            </w:r>
          </w:p>
        </w:tc>
      </w:tr>
      <w:tr w:rsidR="008F5BCE" w14:paraId="62BA644C" w14:textId="77777777">
        <w:trPr>
          <w:trHeight w:val="286"/>
          <w:jc w:val="center"/>
        </w:trPr>
        <w:tc>
          <w:tcPr>
            <w:tcW w:w="10785" w:type="dxa"/>
            <w:gridSpan w:val="3"/>
            <w:shd w:val="clear" w:color="auto" w:fill="auto"/>
            <w:tcMar>
              <w:top w:w="43" w:type="dxa"/>
              <w:left w:w="43" w:type="dxa"/>
              <w:bottom w:w="43" w:type="dxa"/>
              <w:right w:w="43" w:type="dxa"/>
            </w:tcMar>
          </w:tcPr>
          <w:p w14:paraId="6E698FB1" w14:textId="77777777" w:rsidR="008F5BCE" w:rsidRDefault="00000000">
            <w:pPr>
              <w:widowControl w:val="0"/>
              <w:spacing w:line="240" w:lineRule="auto"/>
              <w:rPr>
                <w:sz w:val="20"/>
                <w:szCs w:val="20"/>
              </w:rPr>
            </w:pPr>
            <w:r>
              <w:rPr>
                <w:sz w:val="20"/>
                <w:szCs w:val="20"/>
              </w:rPr>
              <w:t>Name:</w:t>
            </w:r>
          </w:p>
        </w:tc>
      </w:tr>
      <w:tr w:rsidR="008F5BCE" w14:paraId="4A5A211A" w14:textId="77777777">
        <w:trPr>
          <w:trHeight w:val="286"/>
          <w:jc w:val="center"/>
        </w:trPr>
        <w:tc>
          <w:tcPr>
            <w:tcW w:w="10785" w:type="dxa"/>
            <w:gridSpan w:val="3"/>
            <w:shd w:val="clear" w:color="auto" w:fill="auto"/>
            <w:tcMar>
              <w:top w:w="43" w:type="dxa"/>
              <w:left w:w="43" w:type="dxa"/>
              <w:bottom w:w="43" w:type="dxa"/>
              <w:right w:w="43" w:type="dxa"/>
            </w:tcMar>
          </w:tcPr>
          <w:p w14:paraId="23A6A023" w14:textId="77777777" w:rsidR="008F5BCE" w:rsidRDefault="00000000">
            <w:pPr>
              <w:widowControl w:val="0"/>
              <w:spacing w:line="240" w:lineRule="auto"/>
              <w:rPr>
                <w:sz w:val="20"/>
                <w:szCs w:val="20"/>
              </w:rPr>
            </w:pPr>
            <w:r>
              <w:rPr>
                <w:sz w:val="20"/>
                <w:szCs w:val="20"/>
              </w:rPr>
              <w:t>Address:</w:t>
            </w:r>
          </w:p>
        </w:tc>
      </w:tr>
      <w:tr w:rsidR="008F5BCE" w14:paraId="2ED64A35" w14:textId="77777777">
        <w:trPr>
          <w:trHeight w:val="286"/>
          <w:jc w:val="center"/>
        </w:trPr>
        <w:tc>
          <w:tcPr>
            <w:tcW w:w="3555" w:type="dxa"/>
            <w:shd w:val="clear" w:color="auto" w:fill="auto"/>
            <w:tcMar>
              <w:top w:w="43" w:type="dxa"/>
              <w:left w:w="43" w:type="dxa"/>
              <w:bottom w:w="43" w:type="dxa"/>
              <w:right w:w="43" w:type="dxa"/>
            </w:tcMar>
          </w:tcPr>
          <w:p w14:paraId="7EB4B9BC" w14:textId="77777777" w:rsidR="008F5BCE" w:rsidRDefault="00000000">
            <w:pPr>
              <w:widowControl w:val="0"/>
              <w:spacing w:line="240" w:lineRule="auto"/>
              <w:rPr>
                <w:sz w:val="20"/>
                <w:szCs w:val="20"/>
              </w:rPr>
            </w:pPr>
            <w:r>
              <w:rPr>
                <w:sz w:val="20"/>
                <w:szCs w:val="20"/>
              </w:rPr>
              <w:t>City:</w:t>
            </w:r>
          </w:p>
        </w:tc>
        <w:tc>
          <w:tcPr>
            <w:tcW w:w="3645" w:type="dxa"/>
            <w:shd w:val="clear" w:color="auto" w:fill="auto"/>
            <w:tcMar>
              <w:top w:w="43" w:type="dxa"/>
              <w:left w:w="43" w:type="dxa"/>
              <w:bottom w:w="43" w:type="dxa"/>
              <w:right w:w="43" w:type="dxa"/>
            </w:tcMar>
          </w:tcPr>
          <w:p w14:paraId="76465296" w14:textId="77777777" w:rsidR="008F5BCE" w:rsidRDefault="00000000">
            <w:pPr>
              <w:widowControl w:val="0"/>
              <w:spacing w:line="240" w:lineRule="auto"/>
              <w:rPr>
                <w:sz w:val="20"/>
                <w:szCs w:val="20"/>
              </w:rPr>
            </w:pPr>
            <w:r>
              <w:rPr>
                <w:sz w:val="20"/>
                <w:szCs w:val="20"/>
              </w:rPr>
              <w:t>State:</w:t>
            </w:r>
          </w:p>
        </w:tc>
        <w:tc>
          <w:tcPr>
            <w:tcW w:w="3585" w:type="dxa"/>
            <w:shd w:val="clear" w:color="auto" w:fill="auto"/>
            <w:tcMar>
              <w:top w:w="43" w:type="dxa"/>
              <w:left w:w="43" w:type="dxa"/>
              <w:bottom w:w="43" w:type="dxa"/>
              <w:right w:w="43" w:type="dxa"/>
            </w:tcMar>
          </w:tcPr>
          <w:p w14:paraId="02DB36E9" w14:textId="77777777" w:rsidR="008F5BCE" w:rsidRDefault="00000000">
            <w:pPr>
              <w:widowControl w:val="0"/>
              <w:spacing w:line="240" w:lineRule="auto"/>
              <w:rPr>
                <w:sz w:val="18"/>
                <w:szCs w:val="18"/>
              </w:rPr>
            </w:pPr>
            <w:r>
              <w:rPr>
                <w:sz w:val="18"/>
                <w:szCs w:val="18"/>
              </w:rPr>
              <w:t>ZIP:</w:t>
            </w:r>
          </w:p>
        </w:tc>
      </w:tr>
      <w:tr w:rsidR="008F5BCE" w14:paraId="2200CE6E" w14:textId="77777777">
        <w:trPr>
          <w:trHeight w:val="286"/>
          <w:jc w:val="center"/>
        </w:trPr>
        <w:tc>
          <w:tcPr>
            <w:tcW w:w="10785" w:type="dxa"/>
            <w:gridSpan w:val="3"/>
            <w:shd w:val="clear" w:color="auto" w:fill="auto"/>
            <w:tcMar>
              <w:top w:w="43" w:type="dxa"/>
              <w:left w:w="43" w:type="dxa"/>
              <w:bottom w:w="43" w:type="dxa"/>
              <w:right w:w="43" w:type="dxa"/>
            </w:tcMar>
          </w:tcPr>
          <w:p w14:paraId="6DE9AA9F" w14:textId="77777777" w:rsidR="008F5BCE" w:rsidRDefault="00000000">
            <w:pPr>
              <w:widowControl w:val="0"/>
              <w:spacing w:line="240" w:lineRule="auto"/>
              <w:rPr>
                <w:sz w:val="20"/>
                <w:szCs w:val="20"/>
              </w:rPr>
            </w:pPr>
            <w:r>
              <w:rPr>
                <w:sz w:val="20"/>
                <w:szCs w:val="20"/>
              </w:rPr>
              <w:t>Topography, Climate, and Land Characteristics:</w:t>
            </w:r>
          </w:p>
          <w:p w14:paraId="38437EAA" w14:textId="77777777" w:rsidR="008F5BCE" w:rsidRDefault="008F5BCE">
            <w:pPr>
              <w:widowControl w:val="0"/>
              <w:spacing w:line="240" w:lineRule="auto"/>
              <w:rPr>
                <w:sz w:val="20"/>
                <w:szCs w:val="20"/>
              </w:rPr>
            </w:pPr>
          </w:p>
          <w:p w14:paraId="105EFEA0" w14:textId="77777777" w:rsidR="008F5BCE" w:rsidRDefault="008F5BCE">
            <w:pPr>
              <w:widowControl w:val="0"/>
              <w:spacing w:line="240" w:lineRule="auto"/>
              <w:rPr>
                <w:sz w:val="20"/>
                <w:szCs w:val="20"/>
              </w:rPr>
            </w:pPr>
          </w:p>
          <w:p w14:paraId="275B02D0" w14:textId="77777777" w:rsidR="008F5BCE" w:rsidRDefault="008F5BCE">
            <w:pPr>
              <w:widowControl w:val="0"/>
              <w:spacing w:line="240" w:lineRule="auto"/>
              <w:rPr>
                <w:sz w:val="20"/>
                <w:szCs w:val="20"/>
              </w:rPr>
            </w:pPr>
          </w:p>
          <w:p w14:paraId="6987B25D" w14:textId="77777777" w:rsidR="008F5BCE" w:rsidRDefault="008F5BCE">
            <w:pPr>
              <w:widowControl w:val="0"/>
              <w:spacing w:line="240" w:lineRule="auto"/>
              <w:rPr>
                <w:sz w:val="20"/>
                <w:szCs w:val="20"/>
              </w:rPr>
            </w:pPr>
          </w:p>
          <w:p w14:paraId="15D27A98" w14:textId="77777777" w:rsidR="008F5BCE" w:rsidRDefault="008F5BCE">
            <w:pPr>
              <w:widowControl w:val="0"/>
              <w:spacing w:line="240" w:lineRule="auto"/>
              <w:rPr>
                <w:sz w:val="20"/>
                <w:szCs w:val="20"/>
              </w:rPr>
            </w:pPr>
          </w:p>
          <w:p w14:paraId="46B5E6C5" w14:textId="77777777" w:rsidR="008F5BCE" w:rsidRDefault="008F5BCE">
            <w:pPr>
              <w:widowControl w:val="0"/>
              <w:spacing w:line="240" w:lineRule="auto"/>
              <w:rPr>
                <w:sz w:val="20"/>
                <w:szCs w:val="20"/>
              </w:rPr>
            </w:pPr>
          </w:p>
          <w:p w14:paraId="4B62ED55" w14:textId="77777777" w:rsidR="008F5BCE" w:rsidRDefault="008F5BCE">
            <w:pPr>
              <w:widowControl w:val="0"/>
              <w:spacing w:line="240" w:lineRule="auto"/>
              <w:rPr>
                <w:sz w:val="20"/>
                <w:szCs w:val="20"/>
              </w:rPr>
            </w:pPr>
          </w:p>
          <w:p w14:paraId="2D37A095" w14:textId="77777777" w:rsidR="008F5BCE" w:rsidRDefault="008F5BCE">
            <w:pPr>
              <w:widowControl w:val="0"/>
              <w:spacing w:line="240" w:lineRule="auto"/>
              <w:rPr>
                <w:sz w:val="20"/>
                <w:szCs w:val="20"/>
              </w:rPr>
            </w:pPr>
          </w:p>
          <w:p w14:paraId="4A1851A4" w14:textId="77777777" w:rsidR="008F5BCE" w:rsidRDefault="008F5BCE">
            <w:pPr>
              <w:widowControl w:val="0"/>
              <w:spacing w:line="240" w:lineRule="auto"/>
              <w:rPr>
                <w:sz w:val="20"/>
                <w:szCs w:val="20"/>
              </w:rPr>
            </w:pPr>
          </w:p>
        </w:tc>
      </w:tr>
      <w:tr w:rsidR="008F5BCE" w14:paraId="21411204" w14:textId="77777777">
        <w:trPr>
          <w:trHeight w:val="286"/>
          <w:jc w:val="center"/>
        </w:trPr>
        <w:tc>
          <w:tcPr>
            <w:tcW w:w="10785" w:type="dxa"/>
            <w:gridSpan w:val="3"/>
            <w:shd w:val="clear" w:color="auto" w:fill="auto"/>
            <w:tcMar>
              <w:top w:w="43" w:type="dxa"/>
              <w:left w:w="43" w:type="dxa"/>
              <w:bottom w:w="43" w:type="dxa"/>
              <w:right w:w="43" w:type="dxa"/>
            </w:tcMar>
          </w:tcPr>
          <w:p w14:paraId="13FC213D" w14:textId="77777777" w:rsidR="008F5BCE" w:rsidRDefault="00000000">
            <w:pPr>
              <w:widowControl w:val="0"/>
              <w:spacing w:line="240" w:lineRule="auto"/>
              <w:rPr>
                <w:sz w:val="20"/>
                <w:szCs w:val="20"/>
              </w:rPr>
            </w:pPr>
            <w:r>
              <w:rPr>
                <w:sz w:val="20"/>
                <w:szCs w:val="20"/>
              </w:rPr>
              <w:t>Camping Sites:</w:t>
            </w:r>
          </w:p>
          <w:p w14:paraId="4A93DB61" w14:textId="77777777" w:rsidR="008F5BCE" w:rsidRDefault="008F5BCE">
            <w:pPr>
              <w:widowControl w:val="0"/>
              <w:spacing w:line="240" w:lineRule="auto"/>
              <w:rPr>
                <w:sz w:val="20"/>
                <w:szCs w:val="20"/>
              </w:rPr>
            </w:pPr>
          </w:p>
          <w:p w14:paraId="2553F740" w14:textId="77777777" w:rsidR="008F5BCE" w:rsidRDefault="008F5BCE">
            <w:pPr>
              <w:widowControl w:val="0"/>
              <w:spacing w:line="240" w:lineRule="auto"/>
              <w:rPr>
                <w:sz w:val="20"/>
                <w:szCs w:val="20"/>
              </w:rPr>
            </w:pPr>
          </w:p>
        </w:tc>
      </w:tr>
      <w:tr w:rsidR="008F5BCE" w14:paraId="3301CA11" w14:textId="77777777">
        <w:trPr>
          <w:trHeight w:val="286"/>
          <w:jc w:val="center"/>
        </w:trPr>
        <w:tc>
          <w:tcPr>
            <w:tcW w:w="10785" w:type="dxa"/>
            <w:gridSpan w:val="3"/>
            <w:shd w:val="clear" w:color="auto" w:fill="auto"/>
            <w:tcMar>
              <w:top w:w="43" w:type="dxa"/>
              <w:left w:w="43" w:type="dxa"/>
              <w:bottom w:w="43" w:type="dxa"/>
              <w:right w:w="43" w:type="dxa"/>
            </w:tcMar>
          </w:tcPr>
          <w:p w14:paraId="585CED08" w14:textId="77777777" w:rsidR="008F5BCE" w:rsidRDefault="00000000">
            <w:pPr>
              <w:widowControl w:val="0"/>
              <w:spacing w:line="240" w:lineRule="auto"/>
              <w:rPr>
                <w:sz w:val="20"/>
                <w:szCs w:val="20"/>
              </w:rPr>
            </w:pPr>
            <w:r>
              <w:rPr>
                <w:sz w:val="20"/>
                <w:szCs w:val="20"/>
              </w:rPr>
              <w:t>Use and Occupancy:</w:t>
            </w:r>
          </w:p>
          <w:p w14:paraId="7FFE33FA" w14:textId="77777777" w:rsidR="008F5BCE" w:rsidRDefault="008F5BCE">
            <w:pPr>
              <w:widowControl w:val="0"/>
              <w:spacing w:line="240" w:lineRule="auto"/>
              <w:rPr>
                <w:sz w:val="20"/>
                <w:szCs w:val="20"/>
              </w:rPr>
            </w:pPr>
          </w:p>
          <w:p w14:paraId="561D097C" w14:textId="77777777" w:rsidR="008F5BCE" w:rsidRDefault="008F5BCE">
            <w:pPr>
              <w:widowControl w:val="0"/>
              <w:spacing w:line="240" w:lineRule="auto"/>
              <w:rPr>
                <w:sz w:val="20"/>
                <w:szCs w:val="20"/>
              </w:rPr>
            </w:pPr>
          </w:p>
        </w:tc>
      </w:tr>
      <w:tr w:rsidR="008F5BCE" w14:paraId="53F1853E" w14:textId="77777777">
        <w:trPr>
          <w:trHeight w:val="286"/>
          <w:jc w:val="center"/>
        </w:trPr>
        <w:tc>
          <w:tcPr>
            <w:tcW w:w="10785" w:type="dxa"/>
            <w:gridSpan w:val="3"/>
            <w:shd w:val="clear" w:color="auto" w:fill="auto"/>
            <w:tcMar>
              <w:top w:w="43" w:type="dxa"/>
              <w:left w:w="43" w:type="dxa"/>
              <w:bottom w:w="43" w:type="dxa"/>
              <w:right w:w="43" w:type="dxa"/>
            </w:tcMar>
          </w:tcPr>
          <w:p w14:paraId="66B1B6DB" w14:textId="77777777" w:rsidR="008F5BCE" w:rsidRDefault="00000000">
            <w:pPr>
              <w:widowControl w:val="0"/>
              <w:spacing w:line="240" w:lineRule="auto"/>
              <w:rPr>
                <w:sz w:val="20"/>
                <w:szCs w:val="20"/>
              </w:rPr>
            </w:pPr>
            <w:r>
              <w:rPr>
                <w:sz w:val="20"/>
                <w:szCs w:val="20"/>
              </w:rPr>
              <w:t>Facilities and Services:</w:t>
            </w:r>
          </w:p>
          <w:p w14:paraId="4AC0D0BE" w14:textId="77777777" w:rsidR="008F5BCE" w:rsidRDefault="008F5BCE">
            <w:pPr>
              <w:widowControl w:val="0"/>
              <w:spacing w:line="240" w:lineRule="auto"/>
              <w:rPr>
                <w:sz w:val="20"/>
                <w:szCs w:val="20"/>
              </w:rPr>
            </w:pPr>
          </w:p>
          <w:p w14:paraId="6214D30D" w14:textId="77777777" w:rsidR="008F5BCE" w:rsidRDefault="008F5BCE">
            <w:pPr>
              <w:widowControl w:val="0"/>
              <w:spacing w:line="240" w:lineRule="auto"/>
              <w:rPr>
                <w:sz w:val="20"/>
                <w:szCs w:val="20"/>
              </w:rPr>
            </w:pPr>
          </w:p>
        </w:tc>
      </w:tr>
      <w:tr w:rsidR="008F5BCE" w14:paraId="2D2DC921" w14:textId="77777777">
        <w:trPr>
          <w:trHeight w:val="286"/>
          <w:jc w:val="center"/>
        </w:trPr>
        <w:tc>
          <w:tcPr>
            <w:tcW w:w="10785" w:type="dxa"/>
            <w:gridSpan w:val="3"/>
            <w:shd w:val="clear" w:color="auto" w:fill="auto"/>
            <w:tcMar>
              <w:top w:w="43" w:type="dxa"/>
              <w:left w:w="43" w:type="dxa"/>
              <w:bottom w:w="43" w:type="dxa"/>
              <w:right w:w="43" w:type="dxa"/>
            </w:tcMar>
          </w:tcPr>
          <w:p w14:paraId="73918E76" w14:textId="77777777" w:rsidR="008F5BCE" w:rsidRDefault="00000000">
            <w:pPr>
              <w:widowControl w:val="0"/>
              <w:spacing w:line="240" w:lineRule="auto"/>
              <w:rPr>
                <w:sz w:val="20"/>
                <w:szCs w:val="20"/>
              </w:rPr>
            </w:pPr>
            <w:r>
              <w:rPr>
                <w:sz w:val="20"/>
                <w:szCs w:val="20"/>
              </w:rPr>
              <w:t>Assurances for Completion of Facilities and Services:</w:t>
            </w:r>
          </w:p>
          <w:p w14:paraId="32133722" w14:textId="77777777" w:rsidR="008F5BCE" w:rsidRDefault="008F5BCE">
            <w:pPr>
              <w:widowControl w:val="0"/>
              <w:spacing w:line="240" w:lineRule="auto"/>
              <w:rPr>
                <w:sz w:val="20"/>
                <w:szCs w:val="20"/>
              </w:rPr>
            </w:pPr>
          </w:p>
          <w:p w14:paraId="2636ED58" w14:textId="77777777" w:rsidR="008F5BCE" w:rsidRDefault="008F5BCE">
            <w:pPr>
              <w:widowControl w:val="0"/>
              <w:spacing w:line="240" w:lineRule="auto"/>
              <w:rPr>
                <w:sz w:val="20"/>
                <w:szCs w:val="20"/>
              </w:rPr>
            </w:pPr>
          </w:p>
          <w:p w14:paraId="243C0237" w14:textId="77777777" w:rsidR="008F5BCE" w:rsidRDefault="008F5BCE">
            <w:pPr>
              <w:widowControl w:val="0"/>
              <w:spacing w:line="240" w:lineRule="auto"/>
              <w:rPr>
                <w:sz w:val="20"/>
                <w:szCs w:val="20"/>
              </w:rPr>
            </w:pPr>
          </w:p>
        </w:tc>
      </w:tr>
      <w:tr w:rsidR="008F5BCE" w14:paraId="77431B45" w14:textId="77777777">
        <w:trPr>
          <w:trHeight w:val="286"/>
          <w:jc w:val="center"/>
        </w:trPr>
        <w:tc>
          <w:tcPr>
            <w:tcW w:w="10785" w:type="dxa"/>
            <w:gridSpan w:val="3"/>
            <w:shd w:val="clear" w:color="auto" w:fill="auto"/>
            <w:tcMar>
              <w:top w:w="43" w:type="dxa"/>
              <w:left w:w="43" w:type="dxa"/>
              <w:bottom w:w="43" w:type="dxa"/>
              <w:right w:w="43" w:type="dxa"/>
            </w:tcMar>
          </w:tcPr>
          <w:p w14:paraId="5089C5F6" w14:textId="77777777" w:rsidR="008F5BCE" w:rsidRDefault="00000000">
            <w:pPr>
              <w:widowControl w:val="0"/>
              <w:spacing w:line="240" w:lineRule="auto"/>
              <w:rPr>
                <w:sz w:val="20"/>
                <w:szCs w:val="20"/>
              </w:rPr>
            </w:pPr>
            <w:r>
              <w:rPr>
                <w:sz w:val="20"/>
                <w:szCs w:val="20"/>
              </w:rPr>
              <w:t>Assurances for Continued Maintenance and Availability of Facilities and Services:</w:t>
            </w:r>
          </w:p>
          <w:p w14:paraId="4D800D2E" w14:textId="77777777" w:rsidR="008F5BCE" w:rsidRDefault="008F5BCE">
            <w:pPr>
              <w:widowControl w:val="0"/>
              <w:spacing w:line="240" w:lineRule="auto"/>
              <w:rPr>
                <w:sz w:val="20"/>
                <w:szCs w:val="20"/>
              </w:rPr>
            </w:pPr>
          </w:p>
          <w:p w14:paraId="44868257" w14:textId="77777777" w:rsidR="008F5BCE" w:rsidRDefault="008F5BCE">
            <w:pPr>
              <w:widowControl w:val="0"/>
              <w:spacing w:line="240" w:lineRule="auto"/>
              <w:rPr>
                <w:sz w:val="20"/>
                <w:szCs w:val="20"/>
              </w:rPr>
            </w:pPr>
          </w:p>
        </w:tc>
      </w:tr>
      <w:tr w:rsidR="008F5BCE" w14:paraId="5550AB75" w14:textId="77777777">
        <w:trPr>
          <w:trHeight w:val="286"/>
          <w:jc w:val="center"/>
        </w:trPr>
        <w:tc>
          <w:tcPr>
            <w:tcW w:w="10785" w:type="dxa"/>
            <w:gridSpan w:val="3"/>
            <w:shd w:val="clear" w:color="auto" w:fill="auto"/>
            <w:tcMar>
              <w:top w:w="43" w:type="dxa"/>
              <w:left w:w="43" w:type="dxa"/>
              <w:bottom w:w="43" w:type="dxa"/>
              <w:right w:w="43" w:type="dxa"/>
            </w:tcMar>
          </w:tcPr>
          <w:p w14:paraId="647A13D6" w14:textId="77777777" w:rsidR="008F5BCE" w:rsidRDefault="00000000">
            <w:pPr>
              <w:widowControl w:val="0"/>
              <w:spacing w:line="240" w:lineRule="auto"/>
              <w:rPr>
                <w:sz w:val="20"/>
                <w:szCs w:val="20"/>
              </w:rPr>
            </w:pPr>
            <w:r>
              <w:rPr>
                <w:sz w:val="20"/>
                <w:szCs w:val="20"/>
              </w:rPr>
              <w:t>Camping Operator’s Other Parks:</w:t>
            </w:r>
          </w:p>
          <w:p w14:paraId="3A57D6A1" w14:textId="77777777" w:rsidR="008F5BCE" w:rsidRDefault="008F5BCE">
            <w:pPr>
              <w:widowControl w:val="0"/>
              <w:spacing w:line="240" w:lineRule="auto"/>
              <w:rPr>
                <w:sz w:val="20"/>
                <w:szCs w:val="20"/>
              </w:rPr>
            </w:pPr>
          </w:p>
          <w:p w14:paraId="44463AF5" w14:textId="77777777" w:rsidR="008F5BCE" w:rsidRDefault="008F5BCE">
            <w:pPr>
              <w:widowControl w:val="0"/>
              <w:spacing w:line="240" w:lineRule="auto"/>
              <w:rPr>
                <w:sz w:val="20"/>
                <w:szCs w:val="20"/>
              </w:rPr>
            </w:pPr>
          </w:p>
        </w:tc>
      </w:tr>
      <w:tr w:rsidR="008F5BCE" w14:paraId="1D596537" w14:textId="77777777">
        <w:trPr>
          <w:trHeight w:val="286"/>
          <w:jc w:val="center"/>
        </w:trPr>
        <w:tc>
          <w:tcPr>
            <w:tcW w:w="10785" w:type="dxa"/>
            <w:gridSpan w:val="3"/>
            <w:shd w:val="clear" w:color="auto" w:fill="auto"/>
            <w:tcMar>
              <w:top w:w="43" w:type="dxa"/>
              <w:left w:w="43" w:type="dxa"/>
              <w:bottom w:w="43" w:type="dxa"/>
              <w:right w:w="43" w:type="dxa"/>
            </w:tcMar>
          </w:tcPr>
          <w:p w14:paraId="12CE9B45" w14:textId="77777777" w:rsidR="008F5BCE" w:rsidRDefault="00000000">
            <w:pPr>
              <w:widowControl w:val="0"/>
              <w:spacing w:line="240" w:lineRule="auto"/>
              <w:rPr>
                <w:sz w:val="20"/>
                <w:szCs w:val="20"/>
              </w:rPr>
            </w:pPr>
            <w:r>
              <w:rPr>
                <w:sz w:val="20"/>
                <w:szCs w:val="20"/>
              </w:rPr>
              <w:t>CRA Parks:</w:t>
            </w:r>
          </w:p>
          <w:p w14:paraId="53493123" w14:textId="77777777" w:rsidR="008F5BCE" w:rsidRDefault="008F5BCE">
            <w:pPr>
              <w:widowControl w:val="0"/>
              <w:spacing w:line="240" w:lineRule="auto"/>
              <w:rPr>
                <w:sz w:val="20"/>
                <w:szCs w:val="20"/>
              </w:rPr>
            </w:pPr>
          </w:p>
          <w:p w14:paraId="39EEE87A" w14:textId="77777777" w:rsidR="008F5BCE" w:rsidRDefault="008F5BCE">
            <w:pPr>
              <w:widowControl w:val="0"/>
              <w:spacing w:line="240" w:lineRule="auto"/>
              <w:rPr>
                <w:sz w:val="20"/>
                <w:szCs w:val="20"/>
              </w:rPr>
            </w:pPr>
          </w:p>
        </w:tc>
      </w:tr>
    </w:tbl>
    <w:p w14:paraId="098CC11B" w14:textId="77777777" w:rsidR="008F5BCE" w:rsidRDefault="008F5BCE">
      <w:pPr>
        <w:rPr>
          <w:sz w:val="20"/>
          <w:szCs w:val="20"/>
        </w:rPr>
      </w:pPr>
    </w:p>
    <w:tbl>
      <w:tblPr>
        <w:tblStyle w:val="a3"/>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5BCE" w14:paraId="55FAA904" w14:textId="77777777">
        <w:trPr>
          <w:trHeight w:val="372"/>
          <w:jc w:val="center"/>
        </w:trPr>
        <w:tc>
          <w:tcPr>
            <w:tcW w:w="10800" w:type="dxa"/>
            <w:shd w:val="clear" w:color="auto" w:fill="369992"/>
            <w:tcMar>
              <w:top w:w="86" w:type="dxa"/>
              <w:left w:w="86" w:type="dxa"/>
              <w:bottom w:w="86" w:type="dxa"/>
              <w:right w:w="86" w:type="dxa"/>
            </w:tcMar>
          </w:tcPr>
          <w:p w14:paraId="77D8DF47" w14:textId="77777777" w:rsidR="008F5BCE" w:rsidRDefault="00000000">
            <w:pPr>
              <w:spacing w:line="240" w:lineRule="auto"/>
              <w:jc w:val="both"/>
              <w:rPr>
                <w:color w:val="FFFFFF"/>
                <w:sz w:val="20"/>
                <w:szCs w:val="20"/>
              </w:rPr>
            </w:pPr>
            <w:r>
              <w:rPr>
                <w:b/>
                <w:color w:val="FFFFFF"/>
                <w:sz w:val="20"/>
                <w:szCs w:val="20"/>
              </w:rPr>
              <w:t>SALES</w:t>
            </w:r>
          </w:p>
        </w:tc>
      </w:tr>
      <w:tr w:rsidR="008F5BCE" w14:paraId="3B745122" w14:textId="77777777">
        <w:trPr>
          <w:trHeight w:val="286"/>
          <w:jc w:val="center"/>
        </w:trPr>
        <w:tc>
          <w:tcPr>
            <w:tcW w:w="10800" w:type="dxa"/>
            <w:shd w:val="clear" w:color="auto" w:fill="auto"/>
            <w:tcMar>
              <w:top w:w="43" w:type="dxa"/>
              <w:left w:w="43" w:type="dxa"/>
              <w:bottom w:w="43" w:type="dxa"/>
              <w:right w:w="43" w:type="dxa"/>
            </w:tcMar>
          </w:tcPr>
          <w:p w14:paraId="0C32F2F8" w14:textId="77777777" w:rsidR="008F5BCE" w:rsidRDefault="00000000">
            <w:pPr>
              <w:widowControl w:val="0"/>
              <w:spacing w:line="240" w:lineRule="auto"/>
              <w:rPr>
                <w:sz w:val="20"/>
                <w:szCs w:val="20"/>
              </w:rPr>
            </w:pPr>
            <w:r>
              <w:rPr>
                <w:sz w:val="20"/>
                <w:szCs w:val="20"/>
              </w:rPr>
              <w:t>Membership Camping Contracts:</w:t>
            </w:r>
          </w:p>
          <w:p w14:paraId="199FD8E1" w14:textId="77777777" w:rsidR="008F5BCE" w:rsidRDefault="008F5BCE">
            <w:pPr>
              <w:widowControl w:val="0"/>
              <w:spacing w:line="240" w:lineRule="auto"/>
              <w:rPr>
                <w:sz w:val="20"/>
                <w:szCs w:val="20"/>
              </w:rPr>
            </w:pPr>
          </w:p>
          <w:p w14:paraId="244FFFD7" w14:textId="77777777" w:rsidR="008F5BCE" w:rsidRDefault="008F5BCE">
            <w:pPr>
              <w:widowControl w:val="0"/>
              <w:spacing w:line="240" w:lineRule="auto"/>
              <w:rPr>
                <w:sz w:val="20"/>
                <w:szCs w:val="20"/>
              </w:rPr>
            </w:pPr>
          </w:p>
          <w:p w14:paraId="2C169540" w14:textId="77777777" w:rsidR="008F5BCE" w:rsidRDefault="008F5BCE">
            <w:pPr>
              <w:widowControl w:val="0"/>
              <w:spacing w:line="240" w:lineRule="auto"/>
              <w:rPr>
                <w:sz w:val="20"/>
                <w:szCs w:val="20"/>
              </w:rPr>
            </w:pPr>
          </w:p>
          <w:p w14:paraId="7968904A" w14:textId="77777777" w:rsidR="008F5BCE" w:rsidRDefault="008F5BCE">
            <w:pPr>
              <w:widowControl w:val="0"/>
              <w:spacing w:line="240" w:lineRule="auto"/>
              <w:rPr>
                <w:sz w:val="20"/>
                <w:szCs w:val="20"/>
              </w:rPr>
            </w:pPr>
          </w:p>
        </w:tc>
      </w:tr>
      <w:tr w:rsidR="008F5BCE" w14:paraId="5D06326E" w14:textId="77777777">
        <w:trPr>
          <w:trHeight w:val="286"/>
          <w:jc w:val="center"/>
        </w:trPr>
        <w:tc>
          <w:tcPr>
            <w:tcW w:w="10800" w:type="dxa"/>
            <w:shd w:val="clear" w:color="auto" w:fill="auto"/>
            <w:tcMar>
              <w:top w:w="43" w:type="dxa"/>
              <w:left w:w="43" w:type="dxa"/>
              <w:bottom w:w="43" w:type="dxa"/>
              <w:right w:w="43" w:type="dxa"/>
            </w:tcMar>
          </w:tcPr>
          <w:p w14:paraId="78594EB4" w14:textId="77777777" w:rsidR="008F5BCE" w:rsidRDefault="00000000">
            <w:pPr>
              <w:widowControl w:val="0"/>
              <w:spacing w:line="240" w:lineRule="auto"/>
              <w:rPr>
                <w:sz w:val="20"/>
                <w:szCs w:val="20"/>
              </w:rPr>
            </w:pPr>
            <w:r>
              <w:rPr>
                <w:sz w:val="20"/>
                <w:szCs w:val="20"/>
              </w:rPr>
              <w:t>Purchaser’s Rights after Sale:</w:t>
            </w:r>
          </w:p>
          <w:p w14:paraId="152D48ED" w14:textId="77777777" w:rsidR="008F5BCE" w:rsidRDefault="008F5BCE">
            <w:pPr>
              <w:widowControl w:val="0"/>
              <w:spacing w:line="240" w:lineRule="auto"/>
              <w:rPr>
                <w:sz w:val="20"/>
                <w:szCs w:val="20"/>
              </w:rPr>
            </w:pPr>
          </w:p>
          <w:p w14:paraId="0553778E" w14:textId="77777777" w:rsidR="008F5BCE" w:rsidRDefault="008F5BCE">
            <w:pPr>
              <w:widowControl w:val="0"/>
              <w:spacing w:line="240" w:lineRule="auto"/>
              <w:rPr>
                <w:sz w:val="20"/>
                <w:szCs w:val="20"/>
              </w:rPr>
            </w:pPr>
          </w:p>
          <w:p w14:paraId="6E1E32B0" w14:textId="77777777" w:rsidR="008F5BCE" w:rsidRDefault="008F5BCE">
            <w:pPr>
              <w:widowControl w:val="0"/>
              <w:spacing w:line="240" w:lineRule="auto"/>
              <w:rPr>
                <w:sz w:val="20"/>
                <w:szCs w:val="20"/>
              </w:rPr>
            </w:pPr>
          </w:p>
          <w:p w14:paraId="178B7B4F" w14:textId="77777777" w:rsidR="008F5BCE" w:rsidRDefault="008F5BCE">
            <w:pPr>
              <w:widowControl w:val="0"/>
              <w:spacing w:line="240" w:lineRule="auto"/>
              <w:rPr>
                <w:sz w:val="20"/>
                <w:szCs w:val="20"/>
              </w:rPr>
            </w:pPr>
          </w:p>
        </w:tc>
      </w:tr>
    </w:tbl>
    <w:p w14:paraId="51C990A8" w14:textId="77777777" w:rsidR="008F5BCE" w:rsidRDefault="008F5BCE">
      <w:pPr>
        <w:rPr>
          <w:sz w:val="20"/>
          <w:szCs w:val="20"/>
        </w:rPr>
      </w:pPr>
    </w:p>
    <w:p w14:paraId="3CBF700C" w14:textId="77777777" w:rsidR="008F5BCE" w:rsidRDefault="008F5BCE">
      <w:pPr>
        <w:rPr>
          <w:sz w:val="20"/>
          <w:szCs w:val="20"/>
        </w:rPr>
      </w:pPr>
    </w:p>
    <w:tbl>
      <w:tblPr>
        <w:tblStyle w:val="a4"/>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5BCE" w14:paraId="32FE603A" w14:textId="77777777">
        <w:trPr>
          <w:trHeight w:val="372"/>
          <w:jc w:val="center"/>
        </w:trPr>
        <w:tc>
          <w:tcPr>
            <w:tcW w:w="10800" w:type="dxa"/>
            <w:shd w:val="clear" w:color="auto" w:fill="369992"/>
            <w:tcMar>
              <w:top w:w="86" w:type="dxa"/>
              <w:left w:w="86" w:type="dxa"/>
              <w:bottom w:w="86" w:type="dxa"/>
              <w:right w:w="86" w:type="dxa"/>
            </w:tcMar>
          </w:tcPr>
          <w:p w14:paraId="173A4F3C" w14:textId="77777777" w:rsidR="008F5BCE" w:rsidRDefault="00000000">
            <w:pPr>
              <w:spacing w:line="240" w:lineRule="auto"/>
              <w:jc w:val="both"/>
              <w:rPr>
                <w:color w:val="FFFFFF"/>
                <w:sz w:val="20"/>
                <w:szCs w:val="20"/>
              </w:rPr>
            </w:pPr>
            <w:r>
              <w:rPr>
                <w:b/>
                <w:color w:val="FFFFFF"/>
                <w:sz w:val="20"/>
                <w:szCs w:val="20"/>
              </w:rPr>
              <w:t>TITLE</w:t>
            </w:r>
          </w:p>
        </w:tc>
      </w:tr>
      <w:tr w:rsidR="008F5BCE" w14:paraId="42212ABE" w14:textId="77777777">
        <w:trPr>
          <w:trHeight w:val="286"/>
          <w:jc w:val="center"/>
        </w:trPr>
        <w:tc>
          <w:tcPr>
            <w:tcW w:w="10800" w:type="dxa"/>
            <w:shd w:val="clear" w:color="auto" w:fill="auto"/>
            <w:tcMar>
              <w:top w:w="43" w:type="dxa"/>
              <w:left w:w="43" w:type="dxa"/>
              <w:bottom w:w="43" w:type="dxa"/>
              <w:right w:w="43" w:type="dxa"/>
            </w:tcMar>
          </w:tcPr>
          <w:p w14:paraId="63BE6A15" w14:textId="77777777" w:rsidR="008F5BCE" w:rsidRDefault="00000000">
            <w:pPr>
              <w:widowControl w:val="0"/>
              <w:spacing w:line="240" w:lineRule="auto"/>
              <w:rPr>
                <w:sz w:val="20"/>
                <w:szCs w:val="20"/>
              </w:rPr>
            </w:pPr>
            <w:r>
              <w:rPr>
                <w:sz w:val="20"/>
                <w:szCs w:val="20"/>
              </w:rPr>
              <w:t>Ownership:</w:t>
            </w:r>
          </w:p>
          <w:p w14:paraId="1AF89FBE" w14:textId="77777777" w:rsidR="008F5BCE" w:rsidRDefault="008F5BCE">
            <w:pPr>
              <w:widowControl w:val="0"/>
              <w:spacing w:line="240" w:lineRule="auto"/>
              <w:rPr>
                <w:sz w:val="20"/>
                <w:szCs w:val="20"/>
              </w:rPr>
            </w:pPr>
          </w:p>
          <w:p w14:paraId="4F14F604" w14:textId="77777777" w:rsidR="008F5BCE" w:rsidRDefault="008F5BCE">
            <w:pPr>
              <w:widowControl w:val="0"/>
              <w:spacing w:line="240" w:lineRule="auto"/>
              <w:rPr>
                <w:sz w:val="20"/>
                <w:szCs w:val="20"/>
              </w:rPr>
            </w:pPr>
          </w:p>
          <w:p w14:paraId="722EE7EB" w14:textId="77777777" w:rsidR="008F5BCE" w:rsidRDefault="008F5BCE">
            <w:pPr>
              <w:widowControl w:val="0"/>
              <w:spacing w:line="240" w:lineRule="auto"/>
              <w:rPr>
                <w:sz w:val="20"/>
                <w:szCs w:val="20"/>
              </w:rPr>
            </w:pPr>
          </w:p>
          <w:p w14:paraId="0C8414DD" w14:textId="77777777" w:rsidR="008F5BCE" w:rsidRDefault="008F5BCE">
            <w:pPr>
              <w:widowControl w:val="0"/>
              <w:spacing w:line="240" w:lineRule="auto"/>
              <w:rPr>
                <w:sz w:val="20"/>
                <w:szCs w:val="20"/>
              </w:rPr>
            </w:pPr>
          </w:p>
        </w:tc>
      </w:tr>
      <w:tr w:rsidR="008F5BCE" w14:paraId="53BDC389" w14:textId="77777777">
        <w:trPr>
          <w:trHeight w:val="286"/>
          <w:jc w:val="center"/>
        </w:trPr>
        <w:tc>
          <w:tcPr>
            <w:tcW w:w="10800" w:type="dxa"/>
            <w:shd w:val="clear" w:color="auto" w:fill="auto"/>
            <w:tcMar>
              <w:top w:w="43" w:type="dxa"/>
              <w:left w:w="43" w:type="dxa"/>
              <w:bottom w:w="43" w:type="dxa"/>
              <w:right w:w="43" w:type="dxa"/>
            </w:tcMar>
          </w:tcPr>
          <w:p w14:paraId="0D71874E" w14:textId="77777777" w:rsidR="008F5BCE" w:rsidRDefault="00000000">
            <w:pPr>
              <w:widowControl w:val="0"/>
              <w:spacing w:line="240" w:lineRule="auto"/>
              <w:rPr>
                <w:sz w:val="20"/>
                <w:szCs w:val="20"/>
              </w:rPr>
            </w:pPr>
            <w:r>
              <w:rPr>
                <w:sz w:val="20"/>
                <w:szCs w:val="20"/>
              </w:rPr>
              <w:t>Encumbrances on Title:</w:t>
            </w:r>
          </w:p>
          <w:p w14:paraId="57606B5D" w14:textId="77777777" w:rsidR="008F5BCE" w:rsidRDefault="008F5BCE">
            <w:pPr>
              <w:widowControl w:val="0"/>
              <w:spacing w:line="240" w:lineRule="auto"/>
              <w:rPr>
                <w:sz w:val="20"/>
                <w:szCs w:val="20"/>
              </w:rPr>
            </w:pPr>
          </w:p>
          <w:p w14:paraId="2903B92F" w14:textId="77777777" w:rsidR="008F5BCE" w:rsidRDefault="008F5BCE">
            <w:pPr>
              <w:widowControl w:val="0"/>
              <w:spacing w:line="240" w:lineRule="auto"/>
              <w:rPr>
                <w:sz w:val="20"/>
                <w:szCs w:val="20"/>
              </w:rPr>
            </w:pPr>
          </w:p>
          <w:p w14:paraId="0EE41738" w14:textId="77777777" w:rsidR="008F5BCE" w:rsidRDefault="008F5BCE">
            <w:pPr>
              <w:widowControl w:val="0"/>
              <w:spacing w:line="240" w:lineRule="auto"/>
              <w:rPr>
                <w:sz w:val="20"/>
                <w:szCs w:val="20"/>
              </w:rPr>
            </w:pPr>
          </w:p>
          <w:p w14:paraId="5F5B7C55" w14:textId="77777777" w:rsidR="008F5BCE" w:rsidRDefault="008F5BCE">
            <w:pPr>
              <w:widowControl w:val="0"/>
              <w:spacing w:line="240" w:lineRule="auto"/>
              <w:rPr>
                <w:sz w:val="20"/>
                <w:szCs w:val="20"/>
              </w:rPr>
            </w:pPr>
          </w:p>
        </w:tc>
      </w:tr>
    </w:tbl>
    <w:p w14:paraId="320345DF" w14:textId="77777777" w:rsidR="008F5BCE" w:rsidRDefault="008F5BCE">
      <w:pPr>
        <w:rPr>
          <w:sz w:val="20"/>
          <w:szCs w:val="20"/>
        </w:rPr>
      </w:pPr>
    </w:p>
    <w:tbl>
      <w:tblPr>
        <w:tblStyle w:val="a5"/>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5BCE" w14:paraId="023A6202" w14:textId="77777777">
        <w:trPr>
          <w:trHeight w:val="372"/>
          <w:jc w:val="center"/>
        </w:trPr>
        <w:tc>
          <w:tcPr>
            <w:tcW w:w="10800" w:type="dxa"/>
            <w:shd w:val="clear" w:color="auto" w:fill="369992"/>
            <w:tcMar>
              <w:top w:w="86" w:type="dxa"/>
              <w:left w:w="86" w:type="dxa"/>
              <w:bottom w:w="86" w:type="dxa"/>
              <w:right w:w="86" w:type="dxa"/>
            </w:tcMar>
          </w:tcPr>
          <w:p w14:paraId="429C5374" w14:textId="77777777" w:rsidR="008F5BCE" w:rsidRDefault="00000000">
            <w:pPr>
              <w:spacing w:line="240" w:lineRule="auto"/>
              <w:jc w:val="both"/>
              <w:rPr>
                <w:color w:val="FFFFFF"/>
                <w:sz w:val="20"/>
                <w:szCs w:val="20"/>
              </w:rPr>
            </w:pPr>
            <w:r>
              <w:rPr>
                <w:b/>
                <w:color w:val="FFFFFF"/>
                <w:sz w:val="20"/>
                <w:szCs w:val="20"/>
              </w:rPr>
              <w:t>MANAGEMENT AND BUDGET</w:t>
            </w:r>
          </w:p>
        </w:tc>
      </w:tr>
      <w:tr w:rsidR="008F5BCE" w14:paraId="2CA646DF" w14:textId="77777777">
        <w:trPr>
          <w:trHeight w:val="286"/>
          <w:jc w:val="center"/>
        </w:trPr>
        <w:tc>
          <w:tcPr>
            <w:tcW w:w="10800" w:type="dxa"/>
            <w:shd w:val="clear" w:color="auto" w:fill="auto"/>
            <w:tcMar>
              <w:top w:w="43" w:type="dxa"/>
              <w:left w:w="43" w:type="dxa"/>
              <w:bottom w:w="43" w:type="dxa"/>
              <w:right w:w="43" w:type="dxa"/>
            </w:tcMar>
          </w:tcPr>
          <w:p w14:paraId="14CEAA8A" w14:textId="77777777" w:rsidR="008F5BCE" w:rsidRDefault="00000000">
            <w:pPr>
              <w:widowControl w:val="0"/>
              <w:spacing w:line="240" w:lineRule="auto"/>
              <w:rPr>
                <w:sz w:val="20"/>
                <w:szCs w:val="20"/>
              </w:rPr>
            </w:pPr>
            <w:r>
              <w:rPr>
                <w:sz w:val="20"/>
                <w:szCs w:val="20"/>
              </w:rPr>
              <w:t>Manager:</w:t>
            </w:r>
          </w:p>
          <w:p w14:paraId="5771325F" w14:textId="77777777" w:rsidR="008F5BCE" w:rsidRDefault="008F5BCE">
            <w:pPr>
              <w:widowControl w:val="0"/>
              <w:spacing w:line="240" w:lineRule="auto"/>
              <w:rPr>
                <w:sz w:val="20"/>
                <w:szCs w:val="20"/>
              </w:rPr>
            </w:pPr>
          </w:p>
        </w:tc>
      </w:tr>
      <w:tr w:rsidR="008F5BCE" w14:paraId="559B9AC7" w14:textId="77777777">
        <w:trPr>
          <w:trHeight w:val="286"/>
          <w:jc w:val="center"/>
        </w:trPr>
        <w:tc>
          <w:tcPr>
            <w:tcW w:w="10800" w:type="dxa"/>
            <w:shd w:val="clear" w:color="auto" w:fill="auto"/>
            <w:tcMar>
              <w:top w:w="43" w:type="dxa"/>
              <w:left w:w="43" w:type="dxa"/>
              <w:bottom w:w="43" w:type="dxa"/>
              <w:right w:w="43" w:type="dxa"/>
            </w:tcMar>
          </w:tcPr>
          <w:p w14:paraId="01F9A31F" w14:textId="77777777" w:rsidR="008F5BCE" w:rsidRDefault="00000000">
            <w:pPr>
              <w:widowControl w:val="0"/>
              <w:spacing w:line="240" w:lineRule="auto"/>
              <w:rPr>
                <w:sz w:val="20"/>
                <w:szCs w:val="20"/>
              </w:rPr>
            </w:pPr>
            <w:r>
              <w:rPr>
                <w:sz w:val="20"/>
                <w:szCs w:val="20"/>
              </w:rPr>
              <w:t>Management Agreement:</w:t>
            </w:r>
          </w:p>
          <w:p w14:paraId="60F38206" w14:textId="77777777" w:rsidR="008F5BCE" w:rsidRDefault="008F5BCE">
            <w:pPr>
              <w:widowControl w:val="0"/>
              <w:spacing w:line="240" w:lineRule="auto"/>
              <w:rPr>
                <w:sz w:val="20"/>
                <w:szCs w:val="20"/>
              </w:rPr>
            </w:pPr>
          </w:p>
          <w:p w14:paraId="78D00EFF" w14:textId="77777777" w:rsidR="008F5BCE" w:rsidRDefault="008F5BCE">
            <w:pPr>
              <w:widowControl w:val="0"/>
              <w:spacing w:line="240" w:lineRule="auto"/>
              <w:rPr>
                <w:sz w:val="20"/>
                <w:szCs w:val="20"/>
              </w:rPr>
            </w:pPr>
          </w:p>
          <w:p w14:paraId="60DC5647" w14:textId="77777777" w:rsidR="008F5BCE" w:rsidRDefault="008F5BCE">
            <w:pPr>
              <w:widowControl w:val="0"/>
              <w:spacing w:line="240" w:lineRule="auto"/>
              <w:rPr>
                <w:sz w:val="20"/>
                <w:szCs w:val="20"/>
              </w:rPr>
            </w:pPr>
          </w:p>
          <w:p w14:paraId="7FE6D58E" w14:textId="77777777" w:rsidR="008F5BCE" w:rsidRDefault="008F5BCE">
            <w:pPr>
              <w:widowControl w:val="0"/>
              <w:spacing w:line="240" w:lineRule="auto"/>
              <w:rPr>
                <w:sz w:val="20"/>
                <w:szCs w:val="20"/>
              </w:rPr>
            </w:pPr>
          </w:p>
        </w:tc>
      </w:tr>
      <w:tr w:rsidR="008F5BCE" w14:paraId="41F44717" w14:textId="77777777">
        <w:trPr>
          <w:trHeight w:val="286"/>
          <w:jc w:val="center"/>
        </w:trPr>
        <w:tc>
          <w:tcPr>
            <w:tcW w:w="10800" w:type="dxa"/>
            <w:shd w:val="clear" w:color="auto" w:fill="auto"/>
            <w:tcMar>
              <w:top w:w="43" w:type="dxa"/>
              <w:left w:w="43" w:type="dxa"/>
              <w:bottom w:w="43" w:type="dxa"/>
              <w:right w:w="43" w:type="dxa"/>
            </w:tcMar>
          </w:tcPr>
          <w:p w14:paraId="4D8D973D" w14:textId="77777777" w:rsidR="008F5BCE" w:rsidRDefault="00000000">
            <w:pPr>
              <w:widowControl w:val="0"/>
              <w:spacing w:line="240" w:lineRule="auto"/>
              <w:rPr>
                <w:sz w:val="20"/>
                <w:szCs w:val="20"/>
              </w:rPr>
            </w:pPr>
            <w:r>
              <w:rPr>
                <w:sz w:val="20"/>
                <w:szCs w:val="20"/>
              </w:rPr>
              <w:t>Campground Budget:</w:t>
            </w:r>
          </w:p>
          <w:p w14:paraId="4BEFDBEC" w14:textId="77777777" w:rsidR="008F5BCE" w:rsidRDefault="008F5BCE">
            <w:pPr>
              <w:widowControl w:val="0"/>
              <w:spacing w:line="240" w:lineRule="auto"/>
              <w:rPr>
                <w:sz w:val="20"/>
                <w:szCs w:val="20"/>
              </w:rPr>
            </w:pPr>
          </w:p>
          <w:p w14:paraId="4BD4C1A1" w14:textId="77777777" w:rsidR="008F5BCE" w:rsidRDefault="008F5BCE">
            <w:pPr>
              <w:widowControl w:val="0"/>
              <w:spacing w:line="240" w:lineRule="auto"/>
              <w:rPr>
                <w:sz w:val="20"/>
                <w:szCs w:val="20"/>
              </w:rPr>
            </w:pPr>
          </w:p>
          <w:p w14:paraId="3C150F9C" w14:textId="77777777" w:rsidR="008F5BCE" w:rsidRDefault="008F5BCE">
            <w:pPr>
              <w:widowControl w:val="0"/>
              <w:spacing w:line="240" w:lineRule="auto"/>
              <w:rPr>
                <w:sz w:val="20"/>
                <w:szCs w:val="20"/>
              </w:rPr>
            </w:pPr>
          </w:p>
          <w:p w14:paraId="0F04B083" w14:textId="77777777" w:rsidR="008F5BCE" w:rsidRDefault="008F5BCE">
            <w:pPr>
              <w:widowControl w:val="0"/>
              <w:spacing w:line="240" w:lineRule="auto"/>
              <w:rPr>
                <w:sz w:val="20"/>
                <w:szCs w:val="20"/>
              </w:rPr>
            </w:pPr>
          </w:p>
        </w:tc>
      </w:tr>
    </w:tbl>
    <w:p w14:paraId="53580B5B" w14:textId="77777777" w:rsidR="008F5BCE" w:rsidRDefault="008F5BCE">
      <w:pPr>
        <w:rPr>
          <w:sz w:val="20"/>
          <w:szCs w:val="20"/>
        </w:rPr>
      </w:pPr>
    </w:p>
    <w:tbl>
      <w:tblPr>
        <w:tblStyle w:val="a6"/>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5BCE" w14:paraId="07F75269" w14:textId="77777777">
        <w:trPr>
          <w:trHeight w:val="372"/>
          <w:jc w:val="center"/>
        </w:trPr>
        <w:tc>
          <w:tcPr>
            <w:tcW w:w="10800" w:type="dxa"/>
            <w:shd w:val="clear" w:color="auto" w:fill="369992"/>
            <w:tcMar>
              <w:top w:w="86" w:type="dxa"/>
              <w:left w:w="86" w:type="dxa"/>
              <w:bottom w:w="86" w:type="dxa"/>
              <w:right w:w="86" w:type="dxa"/>
            </w:tcMar>
          </w:tcPr>
          <w:p w14:paraId="73B87F44" w14:textId="77777777" w:rsidR="008F5BCE" w:rsidRDefault="00000000">
            <w:pPr>
              <w:spacing w:line="240" w:lineRule="auto"/>
              <w:jc w:val="both"/>
              <w:rPr>
                <w:color w:val="FFFFFF"/>
                <w:sz w:val="20"/>
                <w:szCs w:val="20"/>
              </w:rPr>
            </w:pPr>
            <w:r>
              <w:rPr>
                <w:b/>
                <w:color w:val="FFFFFF"/>
                <w:sz w:val="20"/>
                <w:szCs w:val="20"/>
              </w:rPr>
              <w:t>TAXES AND ASSESSMENTS</w:t>
            </w:r>
          </w:p>
        </w:tc>
      </w:tr>
      <w:tr w:rsidR="008F5BCE" w14:paraId="0975F9B9" w14:textId="77777777">
        <w:trPr>
          <w:trHeight w:val="286"/>
          <w:jc w:val="center"/>
        </w:trPr>
        <w:tc>
          <w:tcPr>
            <w:tcW w:w="10800" w:type="dxa"/>
            <w:shd w:val="clear" w:color="auto" w:fill="auto"/>
            <w:tcMar>
              <w:top w:w="43" w:type="dxa"/>
              <w:left w:w="43" w:type="dxa"/>
              <w:bottom w:w="43" w:type="dxa"/>
              <w:right w:w="43" w:type="dxa"/>
            </w:tcMar>
          </w:tcPr>
          <w:p w14:paraId="36213F9E" w14:textId="77777777" w:rsidR="008F5BCE" w:rsidRDefault="00000000">
            <w:pPr>
              <w:widowControl w:val="0"/>
              <w:spacing w:line="240" w:lineRule="auto"/>
              <w:rPr>
                <w:sz w:val="20"/>
                <w:szCs w:val="20"/>
              </w:rPr>
            </w:pPr>
            <w:r>
              <w:rPr>
                <w:sz w:val="20"/>
                <w:szCs w:val="20"/>
              </w:rPr>
              <w:t>Real Property Taxes:</w:t>
            </w:r>
          </w:p>
          <w:p w14:paraId="34925017" w14:textId="77777777" w:rsidR="008F5BCE" w:rsidRDefault="008F5BCE">
            <w:pPr>
              <w:widowControl w:val="0"/>
              <w:spacing w:line="240" w:lineRule="auto"/>
              <w:rPr>
                <w:sz w:val="20"/>
                <w:szCs w:val="20"/>
              </w:rPr>
            </w:pPr>
          </w:p>
          <w:p w14:paraId="6C1744F7" w14:textId="77777777" w:rsidR="008F5BCE" w:rsidRDefault="008F5BCE">
            <w:pPr>
              <w:widowControl w:val="0"/>
              <w:spacing w:line="240" w:lineRule="auto"/>
              <w:rPr>
                <w:sz w:val="20"/>
                <w:szCs w:val="20"/>
              </w:rPr>
            </w:pPr>
          </w:p>
          <w:p w14:paraId="53BDA3ED" w14:textId="77777777" w:rsidR="008F5BCE" w:rsidRDefault="008F5BCE">
            <w:pPr>
              <w:widowControl w:val="0"/>
              <w:spacing w:line="240" w:lineRule="auto"/>
              <w:rPr>
                <w:sz w:val="20"/>
                <w:szCs w:val="20"/>
              </w:rPr>
            </w:pPr>
          </w:p>
          <w:p w14:paraId="2D46A007" w14:textId="77777777" w:rsidR="008F5BCE" w:rsidRDefault="008F5BCE">
            <w:pPr>
              <w:widowControl w:val="0"/>
              <w:spacing w:line="240" w:lineRule="auto"/>
              <w:rPr>
                <w:sz w:val="20"/>
                <w:szCs w:val="20"/>
              </w:rPr>
            </w:pPr>
          </w:p>
        </w:tc>
      </w:tr>
      <w:tr w:rsidR="008F5BCE" w14:paraId="25C06DB7" w14:textId="77777777">
        <w:trPr>
          <w:trHeight w:val="286"/>
          <w:jc w:val="center"/>
        </w:trPr>
        <w:tc>
          <w:tcPr>
            <w:tcW w:w="10800" w:type="dxa"/>
            <w:shd w:val="clear" w:color="auto" w:fill="auto"/>
            <w:tcMar>
              <w:top w:w="43" w:type="dxa"/>
              <w:left w:w="43" w:type="dxa"/>
              <w:bottom w:w="43" w:type="dxa"/>
              <w:right w:w="43" w:type="dxa"/>
            </w:tcMar>
          </w:tcPr>
          <w:p w14:paraId="0DF9E522" w14:textId="77777777" w:rsidR="008F5BCE" w:rsidRDefault="00000000">
            <w:pPr>
              <w:widowControl w:val="0"/>
              <w:spacing w:line="240" w:lineRule="auto"/>
              <w:rPr>
                <w:sz w:val="20"/>
                <w:szCs w:val="20"/>
              </w:rPr>
            </w:pPr>
            <w:r>
              <w:rPr>
                <w:sz w:val="20"/>
                <w:szCs w:val="20"/>
              </w:rPr>
              <w:t>Special District Taxes:</w:t>
            </w:r>
          </w:p>
          <w:p w14:paraId="46D8024C" w14:textId="77777777" w:rsidR="008F5BCE" w:rsidRDefault="008F5BCE">
            <w:pPr>
              <w:widowControl w:val="0"/>
              <w:spacing w:line="240" w:lineRule="auto"/>
              <w:rPr>
                <w:sz w:val="20"/>
                <w:szCs w:val="20"/>
              </w:rPr>
            </w:pPr>
          </w:p>
          <w:p w14:paraId="67DCF93F" w14:textId="77777777" w:rsidR="008F5BCE" w:rsidRDefault="008F5BCE">
            <w:pPr>
              <w:widowControl w:val="0"/>
              <w:spacing w:line="240" w:lineRule="auto"/>
              <w:rPr>
                <w:sz w:val="20"/>
                <w:szCs w:val="20"/>
              </w:rPr>
            </w:pPr>
          </w:p>
          <w:p w14:paraId="2352C559" w14:textId="77777777" w:rsidR="008F5BCE" w:rsidRDefault="008F5BCE">
            <w:pPr>
              <w:widowControl w:val="0"/>
              <w:spacing w:line="240" w:lineRule="auto"/>
              <w:rPr>
                <w:sz w:val="20"/>
                <w:szCs w:val="20"/>
              </w:rPr>
            </w:pPr>
          </w:p>
          <w:p w14:paraId="3969AA8B" w14:textId="77777777" w:rsidR="008F5BCE" w:rsidRDefault="008F5BCE">
            <w:pPr>
              <w:widowControl w:val="0"/>
              <w:spacing w:line="240" w:lineRule="auto"/>
              <w:rPr>
                <w:sz w:val="20"/>
                <w:szCs w:val="20"/>
              </w:rPr>
            </w:pPr>
          </w:p>
        </w:tc>
      </w:tr>
      <w:tr w:rsidR="008F5BCE" w14:paraId="36020521" w14:textId="77777777">
        <w:trPr>
          <w:trHeight w:val="286"/>
          <w:jc w:val="center"/>
        </w:trPr>
        <w:tc>
          <w:tcPr>
            <w:tcW w:w="10800" w:type="dxa"/>
            <w:shd w:val="clear" w:color="auto" w:fill="auto"/>
            <w:tcMar>
              <w:top w:w="43" w:type="dxa"/>
              <w:left w:w="43" w:type="dxa"/>
              <w:bottom w:w="43" w:type="dxa"/>
              <w:right w:w="43" w:type="dxa"/>
            </w:tcMar>
          </w:tcPr>
          <w:p w14:paraId="623DC970" w14:textId="77777777" w:rsidR="008F5BCE" w:rsidRDefault="00000000">
            <w:pPr>
              <w:widowControl w:val="0"/>
              <w:spacing w:line="240" w:lineRule="auto"/>
              <w:rPr>
                <w:sz w:val="20"/>
                <w:szCs w:val="20"/>
              </w:rPr>
            </w:pPr>
            <w:r>
              <w:rPr>
                <w:sz w:val="20"/>
                <w:szCs w:val="20"/>
              </w:rPr>
              <w:t>Owner’s Association:</w:t>
            </w:r>
          </w:p>
          <w:p w14:paraId="7765C439" w14:textId="77777777" w:rsidR="008F5BCE" w:rsidRDefault="008F5BCE">
            <w:pPr>
              <w:widowControl w:val="0"/>
              <w:spacing w:line="240" w:lineRule="auto"/>
              <w:rPr>
                <w:sz w:val="20"/>
                <w:szCs w:val="20"/>
              </w:rPr>
            </w:pPr>
          </w:p>
          <w:p w14:paraId="1625A630" w14:textId="77777777" w:rsidR="008F5BCE" w:rsidRDefault="008F5BCE">
            <w:pPr>
              <w:widowControl w:val="0"/>
              <w:spacing w:line="240" w:lineRule="auto"/>
              <w:rPr>
                <w:sz w:val="20"/>
                <w:szCs w:val="20"/>
              </w:rPr>
            </w:pPr>
          </w:p>
          <w:p w14:paraId="3D652D12" w14:textId="77777777" w:rsidR="008F5BCE" w:rsidRDefault="008F5BCE">
            <w:pPr>
              <w:widowControl w:val="0"/>
              <w:spacing w:line="240" w:lineRule="auto"/>
              <w:rPr>
                <w:sz w:val="20"/>
                <w:szCs w:val="20"/>
              </w:rPr>
            </w:pPr>
          </w:p>
          <w:p w14:paraId="6D7ED6C4" w14:textId="77777777" w:rsidR="008F5BCE" w:rsidRDefault="008F5BCE">
            <w:pPr>
              <w:widowControl w:val="0"/>
              <w:spacing w:line="240" w:lineRule="auto"/>
              <w:rPr>
                <w:sz w:val="20"/>
                <w:szCs w:val="20"/>
              </w:rPr>
            </w:pPr>
          </w:p>
        </w:tc>
      </w:tr>
      <w:tr w:rsidR="008F5BCE" w14:paraId="53177843" w14:textId="77777777">
        <w:trPr>
          <w:trHeight w:val="286"/>
          <w:jc w:val="center"/>
        </w:trPr>
        <w:tc>
          <w:tcPr>
            <w:tcW w:w="10800" w:type="dxa"/>
            <w:shd w:val="clear" w:color="auto" w:fill="auto"/>
            <w:tcMar>
              <w:top w:w="43" w:type="dxa"/>
              <w:left w:w="43" w:type="dxa"/>
              <w:bottom w:w="43" w:type="dxa"/>
              <w:right w:w="43" w:type="dxa"/>
            </w:tcMar>
          </w:tcPr>
          <w:p w14:paraId="068B9A6F" w14:textId="77777777" w:rsidR="008F5BCE" w:rsidRDefault="00000000">
            <w:pPr>
              <w:widowControl w:val="0"/>
              <w:spacing w:line="240" w:lineRule="auto"/>
              <w:rPr>
                <w:sz w:val="20"/>
                <w:szCs w:val="20"/>
              </w:rPr>
            </w:pPr>
            <w:r>
              <w:rPr>
                <w:sz w:val="20"/>
                <w:szCs w:val="20"/>
              </w:rPr>
              <w:t>Special Assessments:</w:t>
            </w:r>
          </w:p>
          <w:p w14:paraId="34B046D4" w14:textId="77777777" w:rsidR="008F5BCE" w:rsidRDefault="008F5BCE">
            <w:pPr>
              <w:widowControl w:val="0"/>
              <w:spacing w:line="240" w:lineRule="auto"/>
              <w:rPr>
                <w:sz w:val="20"/>
                <w:szCs w:val="20"/>
              </w:rPr>
            </w:pPr>
          </w:p>
          <w:p w14:paraId="6999F6D3" w14:textId="77777777" w:rsidR="008F5BCE" w:rsidRDefault="008F5BCE">
            <w:pPr>
              <w:widowControl w:val="0"/>
              <w:spacing w:line="240" w:lineRule="auto"/>
              <w:rPr>
                <w:sz w:val="20"/>
                <w:szCs w:val="20"/>
              </w:rPr>
            </w:pPr>
          </w:p>
          <w:p w14:paraId="529EE540" w14:textId="77777777" w:rsidR="008F5BCE" w:rsidRDefault="008F5BCE">
            <w:pPr>
              <w:widowControl w:val="0"/>
              <w:spacing w:line="240" w:lineRule="auto"/>
              <w:rPr>
                <w:sz w:val="20"/>
                <w:szCs w:val="20"/>
              </w:rPr>
            </w:pPr>
          </w:p>
          <w:p w14:paraId="34CDB7F8" w14:textId="77777777" w:rsidR="008F5BCE" w:rsidRDefault="008F5BCE">
            <w:pPr>
              <w:widowControl w:val="0"/>
              <w:spacing w:line="240" w:lineRule="auto"/>
              <w:rPr>
                <w:sz w:val="20"/>
                <w:szCs w:val="20"/>
              </w:rPr>
            </w:pPr>
          </w:p>
        </w:tc>
      </w:tr>
    </w:tbl>
    <w:p w14:paraId="466D9402" w14:textId="77777777" w:rsidR="008F5BCE" w:rsidRDefault="008F5BCE">
      <w:pPr>
        <w:rPr>
          <w:sz w:val="20"/>
          <w:szCs w:val="20"/>
        </w:rPr>
      </w:pPr>
    </w:p>
    <w:p w14:paraId="74D3D941" w14:textId="77777777" w:rsidR="008F5BCE" w:rsidRDefault="008F5BCE">
      <w:pPr>
        <w:rPr>
          <w:sz w:val="20"/>
          <w:szCs w:val="20"/>
        </w:rPr>
      </w:pPr>
    </w:p>
    <w:tbl>
      <w:tblPr>
        <w:tblStyle w:val="a7"/>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5BCE" w14:paraId="5A0A390D" w14:textId="77777777">
        <w:trPr>
          <w:trHeight w:val="372"/>
          <w:jc w:val="center"/>
        </w:trPr>
        <w:tc>
          <w:tcPr>
            <w:tcW w:w="10800" w:type="dxa"/>
            <w:shd w:val="clear" w:color="auto" w:fill="369992"/>
            <w:tcMar>
              <w:top w:w="86" w:type="dxa"/>
              <w:left w:w="86" w:type="dxa"/>
              <w:bottom w:w="86" w:type="dxa"/>
              <w:right w:w="86" w:type="dxa"/>
            </w:tcMar>
          </w:tcPr>
          <w:p w14:paraId="7E428C38" w14:textId="77777777" w:rsidR="008F5BCE" w:rsidRDefault="00000000">
            <w:pPr>
              <w:spacing w:line="240" w:lineRule="auto"/>
              <w:jc w:val="both"/>
              <w:rPr>
                <w:color w:val="FFFFFF"/>
                <w:sz w:val="20"/>
                <w:szCs w:val="20"/>
              </w:rPr>
            </w:pPr>
            <w:r>
              <w:rPr>
                <w:b/>
                <w:color w:val="FFFFFF"/>
                <w:sz w:val="20"/>
                <w:szCs w:val="20"/>
              </w:rPr>
              <w:t>EXCHANGE PROGRAMS</w:t>
            </w:r>
          </w:p>
        </w:tc>
      </w:tr>
      <w:tr w:rsidR="008F5BCE" w14:paraId="6A173B57" w14:textId="77777777">
        <w:trPr>
          <w:trHeight w:val="286"/>
          <w:jc w:val="center"/>
        </w:trPr>
        <w:tc>
          <w:tcPr>
            <w:tcW w:w="10800" w:type="dxa"/>
            <w:shd w:val="clear" w:color="auto" w:fill="auto"/>
            <w:tcMar>
              <w:top w:w="43" w:type="dxa"/>
              <w:left w:w="43" w:type="dxa"/>
              <w:bottom w:w="43" w:type="dxa"/>
              <w:right w:w="43" w:type="dxa"/>
            </w:tcMar>
          </w:tcPr>
          <w:p w14:paraId="553B998A" w14:textId="77777777" w:rsidR="008F5BCE" w:rsidRDefault="00000000">
            <w:pPr>
              <w:widowControl w:val="0"/>
              <w:spacing w:line="240" w:lineRule="auto"/>
              <w:rPr>
                <w:sz w:val="20"/>
                <w:szCs w:val="20"/>
              </w:rPr>
            </w:pPr>
            <w:r>
              <w:rPr>
                <w:sz w:val="20"/>
                <w:szCs w:val="20"/>
              </w:rPr>
              <w:t>Exchange Programs:</w:t>
            </w:r>
          </w:p>
          <w:p w14:paraId="6A7E1999" w14:textId="77777777" w:rsidR="008F5BCE" w:rsidRDefault="008F5BCE">
            <w:pPr>
              <w:widowControl w:val="0"/>
              <w:spacing w:line="240" w:lineRule="auto"/>
              <w:rPr>
                <w:sz w:val="20"/>
                <w:szCs w:val="20"/>
              </w:rPr>
            </w:pPr>
          </w:p>
          <w:p w14:paraId="02A8F3F4" w14:textId="77777777" w:rsidR="008F5BCE" w:rsidRDefault="008F5BCE">
            <w:pPr>
              <w:widowControl w:val="0"/>
              <w:spacing w:line="240" w:lineRule="auto"/>
              <w:rPr>
                <w:sz w:val="20"/>
                <w:szCs w:val="20"/>
              </w:rPr>
            </w:pPr>
          </w:p>
          <w:p w14:paraId="26A3844D" w14:textId="77777777" w:rsidR="008F5BCE" w:rsidRDefault="008F5BCE">
            <w:pPr>
              <w:widowControl w:val="0"/>
              <w:spacing w:line="240" w:lineRule="auto"/>
              <w:rPr>
                <w:sz w:val="20"/>
                <w:szCs w:val="20"/>
              </w:rPr>
            </w:pPr>
          </w:p>
        </w:tc>
      </w:tr>
    </w:tbl>
    <w:p w14:paraId="184C6062" w14:textId="77777777" w:rsidR="008F5BCE" w:rsidRDefault="008F5BCE">
      <w:pPr>
        <w:jc w:val="center"/>
        <w:rPr>
          <w:sz w:val="20"/>
          <w:szCs w:val="20"/>
        </w:rPr>
      </w:pPr>
    </w:p>
    <w:p w14:paraId="451A5908" w14:textId="77777777" w:rsidR="008F5BCE" w:rsidRDefault="00000000">
      <w:pPr>
        <w:jc w:val="center"/>
        <w:rPr>
          <w:sz w:val="20"/>
          <w:szCs w:val="20"/>
        </w:rPr>
      </w:pPr>
      <w:r>
        <w:rPr>
          <w:sz w:val="20"/>
          <w:szCs w:val="20"/>
        </w:rPr>
        <w:t>REQUIRED RECEIPT FOR PUBLIC REPORT</w:t>
      </w:r>
    </w:p>
    <w:p w14:paraId="1ED6620C" w14:textId="77777777" w:rsidR="008F5BCE" w:rsidRDefault="008F5BCE">
      <w:pPr>
        <w:rPr>
          <w:sz w:val="20"/>
          <w:szCs w:val="20"/>
        </w:rPr>
      </w:pPr>
    </w:p>
    <w:p w14:paraId="217C2D8B" w14:textId="77777777" w:rsidR="008F5BCE" w:rsidRDefault="00000000">
      <w:pPr>
        <w:pBdr>
          <w:top w:val="nil"/>
          <w:left w:val="nil"/>
          <w:bottom w:val="nil"/>
          <w:right w:val="nil"/>
          <w:between w:val="nil"/>
        </w:pBdr>
        <w:spacing w:line="240" w:lineRule="auto"/>
        <w:rPr>
          <w:sz w:val="20"/>
          <w:szCs w:val="20"/>
        </w:rPr>
      </w:pPr>
      <w:r>
        <w:rPr>
          <w:sz w:val="20"/>
          <w:szCs w:val="20"/>
        </w:rPr>
        <w:t>The law and regulations of the Real Estate Commissioner require that the owner, agent or subdivider of this development furnish you, as a prospective customer, with a copy of the Public Report.  It is recommended that you read the report before you make any written offer to purchase or lease an interest in the development, and before you pay any money or other consideration toward the purchase or lease of an interest in the development.</w:t>
      </w:r>
    </w:p>
    <w:p w14:paraId="33EBF667" w14:textId="77777777" w:rsidR="008F5BCE" w:rsidRDefault="008F5BCE">
      <w:pPr>
        <w:rPr>
          <w:sz w:val="20"/>
          <w:szCs w:val="20"/>
        </w:rPr>
      </w:pPr>
    </w:p>
    <w:tbl>
      <w:tblPr>
        <w:tblStyle w:val="a8"/>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725"/>
        <w:gridCol w:w="1815"/>
        <w:gridCol w:w="3645"/>
      </w:tblGrid>
      <w:tr w:rsidR="008F5BCE" w14:paraId="2891521C" w14:textId="77777777">
        <w:trPr>
          <w:trHeight w:val="372"/>
          <w:jc w:val="center"/>
        </w:trPr>
        <w:tc>
          <w:tcPr>
            <w:tcW w:w="10785" w:type="dxa"/>
            <w:gridSpan w:val="4"/>
            <w:shd w:val="clear" w:color="auto" w:fill="369992"/>
            <w:tcMar>
              <w:top w:w="86" w:type="dxa"/>
              <w:left w:w="86" w:type="dxa"/>
              <w:bottom w:w="86" w:type="dxa"/>
              <w:right w:w="86" w:type="dxa"/>
            </w:tcMar>
          </w:tcPr>
          <w:p w14:paraId="7E589D23" w14:textId="77777777" w:rsidR="008F5BCE" w:rsidRDefault="00000000">
            <w:pPr>
              <w:spacing w:line="240" w:lineRule="auto"/>
              <w:jc w:val="both"/>
              <w:rPr>
                <w:color w:val="FFFFFF"/>
                <w:sz w:val="20"/>
                <w:szCs w:val="20"/>
              </w:rPr>
            </w:pPr>
            <w:r>
              <w:rPr>
                <w:b/>
                <w:color w:val="FFFFFF"/>
                <w:sz w:val="20"/>
                <w:szCs w:val="20"/>
              </w:rPr>
              <w:t>SIGNATURE</w:t>
            </w:r>
          </w:p>
        </w:tc>
      </w:tr>
      <w:tr w:rsidR="008F5BCE" w14:paraId="46BEA463" w14:textId="77777777">
        <w:trPr>
          <w:trHeight w:val="372"/>
          <w:jc w:val="center"/>
        </w:trPr>
        <w:tc>
          <w:tcPr>
            <w:tcW w:w="10785" w:type="dxa"/>
            <w:gridSpan w:val="4"/>
            <w:shd w:val="clear" w:color="auto" w:fill="CCCCCC"/>
            <w:tcMar>
              <w:top w:w="86" w:type="dxa"/>
              <w:left w:w="86" w:type="dxa"/>
              <w:bottom w:w="86" w:type="dxa"/>
              <w:right w:w="86" w:type="dxa"/>
            </w:tcMar>
          </w:tcPr>
          <w:p w14:paraId="6A07C287" w14:textId="77777777" w:rsidR="008F5BCE" w:rsidRDefault="00000000">
            <w:pPr>
              <w:spacing w:line="240" w:lineRule="auto"/>
              <w:rPr>
                <w:b/>
                <w:sz w:val="20"/>
                <w:szCs w:val="20"/>
              </w:rPr>
            </w:pPr>
            <w:r>
              <w:rPr>
                <w:b/>
                <w:sz w:val="20"/>
                <w:szCs w:val="20"/>
              </w:rPr>
              <w:t>For your protection, do not sign this receipt until you have received a copy of the report and have had the opportunity to read it.</w:t>
            </w:r>
          </w:p>
        </w:tc>
      </w:tr>
      <w:tr w:rsidR="008F5BCE" w14:paraId="265A8036" w14:textId="77777777">
        <w:trPr>
          <w:trHeight w:val="286"/>
          <w:jc w:val="center"/>
        </w:trPr>
        <w:tc>
          <w:tcPr>
            <w:tcW w:w="5325" w:type="dxa"/>
            <w:gridSpan w:val="2"/>
            <w:shd w:val="clear" w:color="auto" w:fill="auto"/>
            <w:tcMar>
              <w:top w:w="43" w:type="dxa"/>
              <w:left w:w="43" w:type="dxa"/>
              <w:bottom w:w="43" w:type="dxa"/>
              <w:right w:w="43" w:type="dxa"/>
            </w:tcMar>
          </w:tcPr>
          <w:p w14:paraId="1AB540A9" w14:textId="77777777" w:rsidR="008F5BCE" w:rsidRDefault="00000000">
            <w:pPr>
              <w:widowControl w:val="0"/>
              <w:spacing w:line="240" w:lineRule="auto"/>
              <w:rPr>
                <w:sz w:val="20"/>
                <w:szCs w:val="20"/>
              </w:rPr>
            </w:pPr>
            <w:r>
              <w:rPr>
                <w:sz w:val="20"/>
                <w:szCs w:val="20"/>
              </w:rPr>
              <w:t>Registration Number:</w:t>
            </w:r>
          </w:p>
        </w:tc>
        <w:tc>
          <w:tcPr>
            <w:tcW w:w="5460" w:type="dxa"/>
            <w:gridSpan w:val="2"/>
            <w:shd w:val="clear" w:color="auto" w:fill="auto"/>
            <w:tcMar>
              <w:top w:w="43" w:type="dxa"/>
              <w:left w:w="43" w:type="dxa"/>
              <w:bottom w:w="43" w:type="dxa"/>
              <w:right w:w="43" w:type="dxa"/>
            </w:tcMar>
          </w:tcPr>
          <w:p w14:paraId="367E4CF1" w14:textId="77777777" w:rsidR="008F5BCE" w:rsidRDefault="00000000">
            <w:pPr>
              <w:widowControl w:val="0"/>
              <w:spacing w:line="240" w:lineRule="auto"/>
              <w:rPr>
                <w:sz w:val="20"/>
                <w:szCs w:val="20"/>
              </w:rPr>
            </w:pPr>
            <w:r>
              <w:rPr>
                <w:sz w:val="20"/>
                <w:szCs w:val="20"/>
              </w:rPr>
              <w:t>Campground Name:</w:t>
            </w:r>
          </w:p>
        </w:tc>
      </w:tr>
      <w:tr w:rsidR="008F5BCE" w14:paraId="76F53660" w14:textId="77777777">
        <w:trPr>
          <w:trHeight w:val="286"/>
          <w:jc w:val="center"/>
        </w:trPr>
        <w:tc>
          <w:tcPr>
            <w:tcW w:w="10785" w:type="dxa"/>
            <w:gridSpan w:val="4"/>
            <w:shd w:val="clear" w:color="auto" w:fill="auto"/>
            <w:tcMar>
              <w:top w:w="43" w:type="dxa"/>
              <w:left w:w="43" w:type="dxa"/>
              <w:bottom w:w="43" w:type="dxa"/>
              <w:right w:w="43" w:type="dxa"/>
            </w:tcMar>
          </w:tcPr>
          <w:p w14:paraId="78F5561B" w14:textId="77777777" w:rsidR="008F5BCE" w:rsidRDefault="00000000">
            <w:pPr>
              <w:widowControl w:val="0"/>
              <w:spacing w:line="240" w:lineRule="auto"/>
              <w:rPr>
                <w:sz w:val="20"/>
                <w:szCs w:val="20"/>
              </w:rPr>
            </w:pPr>
            <w:r>
              <w:rPr>
                <w:sz w:val="20"/>
                <w:szCs w:val="20"/>
              </w:rPr>
              <w:t>I understand that the report is not a recommendation or endorsement of the development, but is for information only.</w:t>
            </w:r>
          </w:p>
        </w:tc>
      </w:tr>
      <w:tr w:rsidR="008F5BCE" w14:paraId="3F3F60D2" w14:textId="77777777">
        <w:trPr>
          <w:trHeight w:val="286"/>
          <w:jc w:val="center"/>
        </w:trPr>
        <w:tc>
          <w:tcPr>
            <w:tcW w:w="10785" w:type="dxa"/>
            <w:gridSpan w:val="4"/>
            <w:shd w:val="clear" w:color="auto" w:fill="auto"/>
            <w:tcMar>
              <w:top w:w="43" w:type="dxa"/>
              <w:left w:w="43" w:type="dxa"/>
              <w:bottom w:w="43" w:type="dxa"/>
              <w:right w:w="43" w:type="dxa"/>
            </w:tcMar>
          </w:tcPr>
          <w:p w14:paraId="383408B9" w14:textId="77777777" w:rsidR="008F5BCE" w:rsidRDefault="00000000">
            <w:pPr>
              <w:widowControl w:val="0"/>
              <w:spacing w:line="240" w:lineRule="auto"/>
              <w:rPr>
                <w:sz w:val="20"/>
                <w:szCs w:val="20"/>
              </w:rPr>
            </w:pPr>
            <w:r>
              <w:rPr>
                <w:sz w:val="20"/>
                <w:szCs w:val="20"/>
              </w:rPr>
              <w:t>Received this ____________________ day of ____________________, 20_______.</w:t>
            </w:r>
          </w:p>
        </w:tc>
      </w:tr>
      <w:tr w:rsidR="008F5BCE" w14:paraId="231A5BF1" w14:textId="77777777">
        <w:trPr>
          <w:trHeight w:val="286"/>
          <w:jc w:val="center"/>
        </w:trPr>
        <w:tc>
          <w:tcPr>
            <w:tcW w:w="5325" w:type="dxa"/>
            <w:gridSpan w:val="2"/>
            <w:shd w:val="clear" w:color="auto" w:fill="auto"/>
            <w:tcMar>
              <w:top w:w="43" w:type="dxa"/>
              <w:left w:w="43" w:type="dxa"/>
              <w:bottom w:w="43" w:type="dxa"/>
              <w:right w:w="43" w:type="dxa"/>
            </w:tcMar>
          </w:tcPr>
          <w:p w14:paraId="7D723A4B" w14:textId="77777777" w:rsidR="008F5BCE" w:rsidRDefault="00000000">
            <w:pPr>
              <w:widowControl w:val="0"/>
              <w:spacing w:line="240" w:lineRule="auto"/>
              <w:rPr>
                <w:sz w:val="20"/>
                <w:szCs w:val="20"/>
              </w:rPr>
            </w:pPr>
            <w:r>
              <w:rPr>
                <w:sz w:val="20"/>
                <w:szCs w:val="20"/>
              </w:rPr>
              <w:t>Member Name:</w:t>
            </w:r>
          </w:p>
        </w:tc>
        <w:tc>
          <w:tcPr>
            <w:tcW w:w="5460" w:type="dxa"/>
            <w:gridSpan w:val="2"/>
            <w:shd w:val="clear" w:color="auto" w:fill="auto"/>
            <w:tcMar>
              <w:top w:w="43" w:type="dxa"/>
              <w:left w:w="43" w:type="dxa"/>
              <w:bottom w:w="43" w:type="dxa"/>
              <w:right w:w="43" w:type="dxa"/>
            </w:tcMar>
          </w:tcPr>
          <w:p w14:paraId="22333F91" w14:textId="77777777" w:rsidR="008F5BCE" w:rsidRDefault="00000000">
            <w:pPr>
              <w:widowControl w:val="0"/>
              <w:spacing w:line="240" w:lineRule="auto"/>
              <w:rPr>
                <w:sz w:val="20"/>
                <w:szCs w:val="20"/>
              </w:rPr>
            </w:pPr>
            <w:r>
              <w:rPr>
                <w:sz w:val="20"/>
                <w:szCs w:val="20"/>
              </w:rPr>
              <w:t>Member Signature:</w:t>
            </w:r>
          </w:p>
        </w:tc>
      </w:tr>
      <w:tr w:rsidR="008F5BCE" w14:paraId="2A1C9FC1" w14:textId="77777777">
        <w:trPr>
          <w:trHeight w:val="286"/>
          <w:jc w:val="center"/>
        </w:trPr>
        <w:tc>
          <w:tcPr>
            <w:tcW w:w="10785" w:type="dxa"/>
            <w:gridSpan w:val="4"/>
            <w:shd w:val="clear" w:color="auto" w:fill="auto"/>
            <w:tcMar>
              <w:top w:w="43" w:type="dxa"/>
              <w:left w:w="43" w:type="dxa"/>
              <w:bottom w:w="43" w:type="dxa"/>
              <w:right w:w="43" w:type="dxa"/>
            </w:tcMar>
          </w:tcPr>
          <w:p w14:paraId="45460438" w14:textId="77777777" w:rsidR="008F5BCE" w:rsidRDefault="00000000">
            <w:pPr>
              <w:widowControl w:val="0"/>
              <w:spacing w:line="240" w:lineRule="auto"/>
              <w:rPr>
                <w:sz w:val="20"/>
                <w:szCs w:val="20"/>
              </w:rPr>
            </w:pPr>
            <w:r>
              <w:rPr>
                <w:sz w:val="20"/>
                <w:szCs w:val="20"/>
              </w:rPr>
              <w:t>Address:</w:t>
            </w:r>
          </w:p>
        </w:tc>
      </w:tr>
      <w:tr w:rsidR="008F5BCE" w14:paraId="7443BB71" w14:textId="77777777">
        <w:trPr>
          <w:trHeight w:val="286"/>
          <w:jc w:val="center"/>
        </w:trPr>
        <w:tc>
          <w:tcPr>
            <w:tcW w:w="3600" w:type="dxa"/>
            <w:shd w:val="clear" w:color="auto" w:fill="auto"/>
            <w:tcMar>
              <w:top w:w="43" w:type="dxa"/>
              <w:left w:w="43" w:type="dxa"/>
              <w:bottom w:w="43" w:type="dxa"/>
              <w:right w:w="43" w:type="dxa"/>
            </w:tcMar>
          </w:tcPr>
          <w:p w14:paraId="27296690" w14:textId="77777777" w:rsidR="008F5BCE" w:rsidRDefault="00000000">
            <w:pPr>
              <w:widowControl w:val="0"/>
              <w:spacing w:line="240" w:lineRule="auto"/>
              <w:rPr>
                <w:sz w:val="20"/>
                <w:szCs w:val="20"/>
              </w:rPr>
            </w:pPr>
            <w:r>
              <w:rPr>
                <w:sz w:val="20"/>
                <w:szCs w:val="20"/>
              </w:rPr>
              <w:t>City:</w:t>
            </w:r>
          </w:p>
        </w:tc>
        <w:tc>
          <w:tcPr>
            <w:tcW w:w="3540" w:type="dxa"/>
            <w:gridSpan w:val="2"/>
            <w:shd w:val="clear" w:color="auto" w:fill="auto"/>
            <w:tcMar>
              <w:top w:w="43" w:type="dxa"/>
              <w:left w:w="43" w:type="dxa"/>
              <w:bottom w:w="43" w:type="dxa"/>
              <w:right w:w="43" w:type="dxa"/>
            </w:tcMar>
          </w:tcPr>
          <w:p w14:paraId="7A5065AB" w14:textId="77777777" w:rsidR="008F5BCE" w:rsidRDefault="00000000">
            <w:pPr>
              <w:widowControl w:val="0"/>
              <w:spacing w:line="240" w:lineRule="auto"/>
              <w:rPr>
                <w:sz w:val="20"/>
                <w:szCs w:val="20"/>
              </w:rPr>
            </w:pPr>
            <w:r>
              <w:rPr>
                <w:sz w:val="20"/>
                <w:szCs w:val="20"/>
              </w:rPr>
              <w:t>State:</w:t>
            </w:r>
          </w:p>
        </w:tc>
        <w:tc>
          <w:tcPr>
            <w:tcW w:w="3645" w:type="dxa"/>
            <w:shd w:val="clear" w:color="auto" w:fill="auto"/>
            <w:tcMar>
              <w:top w:w="43" w:type="dxa"/>
              <w:left w:w="43" w:type="dxa"/>
              <w:bottom w:w="43" w:type="dxa"/>
              <w:right w:w="43" w:type="dxa"/>
            </w:tcMar>
          </w:tcPr>
          <w:p w14:paraId="79595CA2" w14:textId="77777777" w:rsidR="008F5BCE" w:rsidRDefault="00000000">
            <w:pPr>
              <w:widowControl w:val="0"/>
              <w:spacing w:line="240" w:lineRule="auto"/>
              <w:rPr>
                <w:sz w:val="18"/>
                <w:szCs w:val="18"/>
              </w:rPr>
            </w:pPr>
            <w:r>
              <w:rPr>
                <w:sz w:val="18"/>
                <w:szCs w:val="18"/>
              </w:rPr>
              <w:t>ZIP:</w:t>
            </w:r>
          </w:p>
        </w:tc>
      </w:tr>
    </w:tbl>
    <w:p w14:paraId="657AE359" w14:textId="77777777" w:rsidR="008F5BCE" w:rsidRDefault="00000000">
      <w:pPr>
        <w:spacing w:line="240" w:lineRule="auto"/>
        <w:rPr>
          <w:b/>
          <w:sz w:val="18"/>
          <w:szCs w:val="18"/>
        </w:rPr>
      </w:pPr>
      <w:r>
        <w:br w:type="page"/>
      </w:r>
    </w:p>
    <w:p w14:paraId="3670AC91" w14:textId="77777777" w:rsidR="008F5BCE" w:rsidRDefault="008F5BCE">
      <w:pPr>
        <w:spacing w:line="240" w:lineRule="auto"/>
        <w:rPr>
          <w:b/>
          <w:sz w:val="18"/>
          <w:szCs w:val="18"/>
        </w:rPr>
      </w:pPr>
    </w:p>
    <w:tbl>
      <w:tblPr>
        <w:tblStyle w:val="a9"/>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F5BCE" w14:paraId="5955128C" w14:textId="77777777">
        <w:tc>
          <w:tcPr>
            <w:tcW w:w="10800" w:type="dxa"/>
            <w:shd w:val="clear" w:color="auto" w:fill="369992"/>
            <w:tcMar>
              <w:top w:w="86" w:type="dxa"/>
              <w:left w:w="86" w:type="dxa"/>
              <w:bottom w:w="86" w:type="dxa"/>
              <w:right w:w="86" w:type="dxa"/>
            </w:tcMar>
          </w:tcPr>
          <w:p w14:paraId="1B990B59" w14:textId="77777777" w:rsidR="008F5BCE"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6">
              <w:r>
                <w:rPr>
                  <w:b/>
                  <w:color w:val="FFFFFF"/>
                  <w:sz w:val="24"/>
                  <w:szCs w:val="24"/>
                  <w:u w:val="single"/>
                </w:rPr>
                <w:t>A.R.S. § 41-1030</w:t>
              </w:r>
            </w:hyperlink>
          </w:p>
        </w:tc>
      </w:tr>
      <w:tr w:rsidR="008F5BCE" w14:paraId="5E4C1030" w14:textId="77777777">
        <w:trPr>
          <w:trHeight w:val="694"/>
        </w:trPr>
        <w:tc>
          <w:tcPr>
            <w:tcW w:w="10800" w:type="dxa"/>
            <w:shd w:val="clear" w:color="auto" w:fill="FFFFFF"/>
            <w:tcMar>
              <w:top w:w="86" w:type="dxa"/>
              <w:left w:w="86" w:type="dxa"/>
              <w:bottom w:w="86" w:type="dxa"/>
              <w:right w:w="86" w:type="dxa"/>
            </w:tcMar>
          </w:tcPr>
          <w:p w14:paraId="2FB56E0F" w14:textId="77777777" w:rsidR="008F5BCE" w:rsidRDefault="00000000">
            <w:pPr>
              <w:widowControl w:val="0"/>
              <w:spacing w:line="240" w:lineRule="auto"/>
              <w:jc w:val="both"/>
              <w:rPr>
                <w:sz w:val="20"/>
                <w:szCs w:val="20"/>
              </w:rPr>
            </w:pPr>
            <w:r>
              <w:rPr>
                <w:sz w:val="20"/>
                <w:szCs w:val="20"/>
              </w:rPr>
              <w:t xml:space="preserve">An agency shall not base a licensing decision in whole or in part on a licensing requirement or condition that is not specifically authorized by statute, rule or state tribal gaming compact. A general grant of authority in statute does not constitute a basis for imposing a licensing requirement or condition unless a rule is made pursuant to that general grant of authority that specifically authorizes the requirement or condition. </w:t>
            </w:r>
          </w:p>
        </w:tc>
      </w:tr>
      <w:tr w:rsidR="008F5BCE" w14:paraId="0C5926AB" w14:textId="77777777">
        <w:trPr>
          <w:trHeight w:val="509"/>
        </w:trPr>
        <w:tc>
          <w:tcPr>
            <w:tcW w:w="10800" w:type="dxa"/>
            <w:shd w:val="clear" w:color="auto" w:fill="FFFFFF"/>
            <w:tcMar>
              <w:top w:w="86" w:type="dxa"/>
              <w:left w:w="86" w:type="dxa"/>
              <w:bottom w:w="86" w:type="dxa"/>
              <w:right w:w="86" w:type="dxa"/>
            </w:tcMar>
          </w:tcPr>
          <w:p w14:paraId="2715DA01" w14:textId="77777777" w:rsidR="008F5BCE" w:rsidRDefault="00000000">
            <w:pPr>
              <w:widowControl w:val="0"/>
              <w:spacing w:line="240" w:lineRule="auto"/>
              <w:jc w:val="both"/>
              <w:rPr>
                <w:sz w:val="20"/>
                <w:szCs w:val="20"/>
              </w:rPr>
            </w:pPr>
            <w:r>
              <w:rPr>
                <w:sz w:val="20"/>
                <w:szCs w:val="20"/>
              </w:rPr>
              <w:t xml:space="preserve">This section may be enforced in a private civil action and relief may be awarded against the State. The court may award reasonable attorney fees, damages and all fees associated with the license application to a party that prevails in an action against the state for a violation of this section. </w:t>
            </w:r>
          </w:p>
        </w:tc>
      </w:tr>
      <w:tr w:rsidR="008F5BCE" w14:paraId="045DA88B" w14:textId="77777777">
        <w:tc>
          <w:tcPr>
            <w:tcW w:w="10800" w:type="dxa"/>
            <w:shd w:val="clear" w:color="auto" w:fill="FFFFFF"/>
            <w:tcMar>
              <w:top w:w="86" w:type="dxa"/>
              <w:left w:w="86" w:type="dxa"/>
              <w:bottom w:w="86" w:type="dxa"/>
              <w:right w:w="86" w:type="dxa"/>
            </w:tcMar>
          </w:tcPr>
          <w:p w14:paraId="532D1A7A" w14:textId="77777777" w:rsidR="008F5BCE" w:rsidRDefault="00000000">
            <w:pPr>
              <w:widowControl w:val="0"/>
              <w:spacing w:line="240" w:lineRule="auto"/>
              <w:jc w:val="both"/>
              <w:rPr>
                <w:sz w:val="20"/>
                <w:szCs w:val="20"/>
              </w:rPr>
            </w:pPr>
            <w:r>
              <w:rPr>
                <w:sz w:val="20"/>
                <w:szCs w:val="20"/>
              </w:rPr>
              <w:t xml:space="preserve">A State employee may not intentionally or knowingly violate this section. A violation of this section is cause for disciplinary action or dismissal pursuant to the Agency's adopted personnel policy. </w:t>
            </w:r>
          </w:p>
        </w:tc>
      </w:tr>
      <w:tr w:rsidR="008F5BCE" w14:paraId="5C17A853" w14:textId="77777777">
        <w:tc>
          <w:tcPr>
            <w:tcW w:w="10800" w:type="dxa"/>
            <w:shd w:val="clear" w:color="auto" w:fill="FFFFFF"/>
            <w:tcMar>
              <w:top w:w="86" w:type="dxa"/>
              <w:left w:w="86" w:type="dxa"/>
              <w:bottom w:w="86" w:type="dxa"/>
              <w:right w:w="86" w:type="dxa"/>
            </w:tcMar>
          </w:tcPr>
          <w:p w14:paraId="18179764" w14:textId="77777777" w:rsidR="008F5BCE" w:rsidRDefault="00000000">
            <w:pPr>
              <w:widowControl w:val="0"/>
              <w:spacing w:line="240" w:lineRule="auto"/>
              <w:jc w:val="both"/>
              <w:rPr>
                <w:sz w:val="20"/>
                <w:szCs w:val="20"/>
              </w:rPr>
            </w:pPr>
            <w:r>
              <w:rPr>
                <w:sz w:val="20"/>
                <w:szCs w:val="20"/>
              </w:rPr>
              <w:t xml:space="preserve">This section does not abrogate the immunity provided by section 12-820.01 or 12-820.02 </w:t>
            </w:r>
          </w:p>
        </w:tc>
      </w:tr>
      <w:tr w:rsidR="008F5BCE" w14:paraId="53DB9789" w14:textId="77777777">
        <w:tc>
          <w:tcPr>
            <w:tcW w:w="10800" w:type="dxa"/>
            <w:shd w:val="clear" w:color="auto" w:fill="369992"/>
            <w:tcMar>
              <w:top w:w="86" w:type="dxa"/>
              <w:left w:w="86" w:type="dxa"/>
              <w:bottom w:w="86" w:type="dxa"/>
              <w:right w:w="86" w:type="dxa"/>
            </w:tcMar>
          </w:tcPr>
          <w:p w14:paraId="12A15F8E" w14:textId="77777777" w:rsidR="008F5BCE"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7">
              <w:r>
                <w:rPr>
                  <w:b/>
                  <w:color w:val="FFFFFF"/>
                  <w:sz w:val="24"/>
                  <w:szCs w:val="24"/>
                  <w:u w:val="single"/>
                </w:rPr>
                <w:t>A.R.S. § 41-1093</w:t>
              </w:r>
            </w:hyperlink>
          </w:p>
        </w:tc>
      </w:tr>
      <w:tr w:rsidR="008F5BCE" w14:paraId="0CB0FA44" w14:textId="77777777">
        <w:tc>
          <w:tcPr>
            <w:tcW w:w="10800" w:type="dxa"/>
            <w:shd w:val="clear" w:color="auto" w:fill="FFFFFF"/>
            <w:tcMar>
              <w:top w:w="86" w:type="dxa"/>
              <w:left w:w="86" w:type="dxa"/>
              <w:bottom w:w="86" w:type="dxa"/>
              <w:right w:w="86" w:type="dxa"/>
            </w:tcMar>
          </w:tcPr>
          <w:p w14:paraId="2A515184" w14:textId="224A32AD" w:rsidR="008F5BCE" w:rsidRDefault="00000000">
            <w:pPr>
              <w:widowControl w:val="0"/>
              <w:spacing w:line="240" w:lineRule="auto"/>
              <w:jc w:val="both"/>
              <w:rPr>
                <w:sz w:val="20"/>
                <w:szCs w:val="20"/>
              </w:rPr>
            </w:pPr>
            <w:r>
              <w:rPr>
                <w:sz w:val="20"/>
                <w:szCs w:val="20"/>
              </w:rPr>
              <w:t xml:space="preserve">An agency shall limit all occupational regulations to regulations that are demonstrated to be necessary to specifically fulfill a public health, </w:t>
            </w:r>
            <w:r w:rsidR="00ED5066">
              <w:rPr>
                <w:sz w:val="20"/>
                <w:szCs w:val="20"/>
              </w:rPr>
              <w:t>safety or</w:t>
            </w:r>
            <w:r>
              <w:rPr>
                <w:sz w:val="20"/>
                <w:szCs w:val="20"/>
              </w:rPr>
              <w:t xml:space="preserve"> welfare concern. Pursuant to sections 41-1093.02 and 41-1093.03. Arizona Revised statutes, you have the right to petition this agency to repeal or modify the occupational regulation or bring an action in a court of general jurisdiction to challenge the occupational regulation and to ensure compliance with section 41-1093.01, Arizona Revised Statutes. </w:t>
            </w:r>
          </w:p>
        </w:tc>
      </w:tr>
      <w:tr w:rsidR="008F5BCE" w14:paraId="7DDCB337" w14:textId="77777777">
        <w:tc>
          <w:tcPr>
            <w:tcW w:w="10800" w:type="dxa"/>
            <w:shd w:val="clear" w:color="auto" w:fill="369992"/>
            <w:tcMar>
              <w:top w:w="86" w:type="dxa"/>
              <w:left w:w="86" w:type="dxa"/>
              <w:bottom w:w="86" w:type="dxa"/>
              <w:right w:w="86" w:type="dxa"/>
            </w:tcMar>
          </w:tcPr>
          <w:p w14:paraId="7C7DB6DA" w14:textId="77777777" w:rsidR="008F5BCE"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8">
              <w:r>
                <w:rPr>
                  <w:b/>
                  <w:color w:val="FFFFFF"/>
                  <w:sz w:val="24"/>
                  <w:szCs w:val="24"/>
                  <w:u w:val="single"/>
                </w:rPr>
                <w:t>A.R.S. § 41-1093.08</w:t>
              </w:r>
            </w:hyperlink>
          </w:p>
        </w:tc>
      </w:tr>
      <w:tr w:rsidR="008F5BCE" w14:paraId="68916C44" w14:textId="77777777">
        <w:tc>
          <w:tcPr>
            <w:tcW w:w="10800" w:type="dxa"/>
            <w:shd w:val="clear" w:color="auto" w:fill="FFFFFF"/>
            <w:tcMar>
              <w:top w:w="86" w:type="dxa"/>
              <w:left w:w="86" w:type="dxa"/>
              <w:bottom w:w="86" w:type="dxa"/>
              <w:right w:w="86" w:type="dxa"/>
            </w:tcMar>
          </w:tcPr>
          <w:p w14:paraId="16D44616" w14:textId="77777777" w:rsidR="008F5BCE" w:rsidRDefault="00000000">
            <w:pPr>
              <w:widowControl w:val="0"/>
              <w:spacing w:line="240" w:lineRule="auto"/>
              <w:jc w:val="both"/>
              <w:rPr>
                <w:sz w:val="20"/>
                <w:szCs w:val="20"/>
              </w:rPr>
            </w:pPr>
            <w:r>
              <w:rPr>
                <w:sz w:val="20"/>
                <w:szCs w:val="20"/>
              </w:rPr>
              <w:t>Pursuant to Arizona Revised Statutes, Title 41, Chapter 6, Article 11, an applicant, licensee, registrant or certificate holder may petition the Office of Administrative Hearings to request a review of a denial, suspension or revocation of a license, registration or certificate for a prior criminal offense.</w:t>
            </w:r>
          </w:p>
        </w:tc>
      </w:tr>
    </w:tbl>
    <w:p w14:paraId="2DF36856" w14:textId="77777777" w:rsidR="008F5BCE" w:rsidRDefault="008F5BCE">
      <w:pPr>
        <w:rPr>
          <w:sz w:val="4"/>
          <w:szCs w:val="4"/>
        </w:rPr>
      </w:pPr>
    </w:p>
    <w:sectPr w:rsidR="008F5BCE" w:rsidSect="00ED506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877E" w14:textId="77777777" w:rsidR="00716EDD" w:rsidRDefault="00716EDD">
      <w:pPr>
        <w:spacing w:line="240" w:lineRule="auto"/>
      </w:pPr>
      <w:r>
        <w:separator/>
      </w:r>
    </w:p>
  </w:endnote>
  <w:endnote w:type="continuationSeparator" w:id="0">
    <w:p w14:paraId="1524C528" w14:textId="77777777" w:rsidR="00716EDD" w:rsidRDefault="00716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95B" w14:textId="77777777" w:rsidR="000A6D0B" w:rsidRDefault="000A6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C947" w14:textId="17FF7906" w:rsidR="008F5BCE" w:rsidRDefault="00000000">
    <w:pPr>
      <w:spacing w:line="240" w:lineRule="auto"/>
      <w:ind w:firstLine="720"/>
      <w:jc w:val="right"/>
      <w:rPr>
        <w:color w:val="369992"/>
        <w:sz w:val="20"/>
        <w:szCs w:val="20"/>
      </w:rPr>
    </w:pPr>
    <w:r>
      <w:rPr>
        <w:color w:val="369992"/>
        <w:sz w:val="20"/>
        <w:szCs w:val="20"/>
      </w:rPr>
      <w:t>Membership Cam</w:t>
    </w:r>
    <w:r w:rsidR="000A6D0B">
      <w:rPr>
        <w:color w:val="369992"/>
        <w:sz w:val="20"/>
        <w:szCs w:val="20"/>
      </w:rPr>
      <w:t>ping</w:t>
    </w:r>
    <w:r>
      <w:rPr>
        <w:color w:val="369992"/>
        <w:sz w:val="20"/>
        <w:szCs w:val="20"/>
      </w:rPr>
      <w:t xml:space="preserve"> Public Report Template - Rev. 06/2025 </w:t>
    </w:r>
    <w:r>
      <w:rPr>
        <w:color w:val="CC6C20"/>
        <w:sz w:val="20"/>
        <w:szCs w:val="20"/>
      </w:rPr>
      <w:t xml:space="preserve">| </w:t>
    </w:r>
    <w:hyperlink r:id="rId1">
      <w:r>
        <w:rPr>
          <w:color w:val="369992"/>
          <w:sz w:val="20"/>
          <w:szCs w:val="20"/>
          <w:u w:val="single"/>
        </w:rPr>
        <w:t>www.azre.gov</w:t>
      </w:r>
    </w:hyperlink>
  </w:p>
  <w:p w14:paraId="77D875D1" w14:textId="77777777" w:rsidR="008F5BCE" w:rsidRDefault="008F5BCE">
    <w:pPr>
      <w:spacing w:line="240" w:lineRule="auto"/>
      <w:ind w:firstLine="720"/>
      <w:jc w:val="center"/>
      <w:rPr>
        <w:i/>
        <w:sz w:val="18"/>
        <w:szCs w:val="18"/>
      </w:rPr>
    </w:pPr>
  </w:p>
  <w:p w14:paraId="462CC8A3" w14:textId="77777777" w:rsidR="008F5BCE" w:rsidRDefault="00000000">
    <w:pPr>
      <w:spacing w:line="240" w:lineRule="auto"/>
      <w:ind w:firstLine="720"/>
      <w:jc w:val="center"/>
      <w:rPr>
        <w:i/>
        <w:sz w:val="18"/>
        <w:szCs w:val="18"/>
      </w:rPr>
    </w:pPr>
    <w:r>
      <w:rPr>
        <w:i/>
        <w:sz w:val="18"/>
        <w:szCs w:val="18"/>
      </w:rPr>
      <w:t>Questions regarding this communication can be sent to Mandy Neat, ADRE Deputy Commissioner, at 602-771-7724 or online through the ADRE Message Center</w:t>
    </w:r>
  </w:p>
  <w:p w14:paraId="3F19FCD7" w14:textId="77777777" w:rsidR="008F5BCE" w:rsidRDefault="00000000">
    <w:pPr>
      <w:spacing w:line="240" w:lineRule="auto"/>
      <w:ind w:firstLine="720"/>
      <w:jc w:val="center"/>
      <w:rPr>
        <w:color w:val="369992"/>
        <w:sz w:val="20"/>
        <w:szCs w:val="20"/>
      </w:rPr>
    </w:pPr>
    <w:r>
      <w:rPr>
        <w:i/>
        <w:sz w:val="18"/>
        <w:szCs w:val="18"/>
      </w:rPr>
      <w:t xml:space="preserve">Page </w:t>
    </w:r>
    <w:r>
      <w:rPr>
        <w:i/>
        <w:sz w:val="18"/>
        <w:szCs w:val="18"/>
      </w:rPr>
      <w:fldChar w:fldCharType="begin"/>
    </w:r>
    <w:r>
      <w:rPr>
        <w:i/>
        <w:sz w:val="18"/>
        <w:szCs w:val="18"/>
      </w:rPr>
      <w:instrText>PAGE</w:instrText>
    </w:r>
    <w:r>
      <w:rPr>
        <w:i/>
        <w:sz w:val="18"/>
        <w:szCs w:val="18"/>
      </w:rPr>
      <w:fldChar w:fldCharType="separate"/>
    </w:r>
    <w:r w:rsidR="00ED5066">
      <w:rPr>
        <w:i/>
        <w:noProof/>
        <w:sz w:val="18"/>
        <w:szCs w:val="18"/>
      </w:rPr>
      <w:t>1</w:t>
    </w:r>
    <w:r>
      <w:rP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A517" w14:textId="72504E72" w:rsidR="00ED5066" w:rsidRDefault="00ED5066" w:rsidP="00ED5066">
    <w:pPr>
      <w:spacing w:line="240" w:lineRule="auto"/>
      <w:ind w:firstLine="720"/>
      <w:jc w:val="right"/>
      <w:rPr>
        <w:color w:val="369992"/>
        <w:sz w:val="20"/>
        <w:szCs w:val="20"/>
      </w:rPr>
    </w:pPr>
    <w:r>
      <w:rPr>
        <w:color w:val="369992"/>
        <w:sz w:val="20"/>
        <w:szCs w:val="20"/>
      </w:rPr>
      <w:t>Membership Camp</w:t>
    </w:r>
    <w:r w:rsidR="000A6D0B">
      <w:rPr>
        <w:color w:val="369992"/>
        <w:sz w:val="20"/>
        <w:szCs w:val="20"/>
      </w:rPr>
      <w:t>ing</w:t>
    </w:r>
    <w:r>
      <w:rPr>
        <w:color w:val="369992"/>
        <w:sz w:val="20"/>
        <w:szCs w:val="20"/>
      </w:rPr>
      <w:t xml:space="preserve"> Public Report Template - Rev. 06/2025 </w:t>
    </w:r>
    <w:r>
      <w:rPr>
        <w:color w:val="CC6C20"/>
        <w:sz w:val="20"/>
        <w:szCs w:val="20"/>
      </w:rPr>
      <w:t xml:space="preserve">| </w:t>
    </w:r>
    <w:hyperlink r:id="rId1">
      <w:r>
        <w:rPr>
          <w:color w:val="369992"/>
          <w:sz w:val="20"/>
          <w:szCs w:val="20"/>
          <w:u w:val="single"/>
        </w:rPr>
        <w:t>www.azre.gov</w:t>
      </w:r>
    </w:hyperlink>
  </w:p>
  <w:p w14:paraId="168B399A" w14:textId="77777777" w:rsidR="00ED5066" w:rsidRDefault="00ED5066" w:rsidP="00ED5066">
    <w:pPr>
      <w:spacing w:line="240" w:lineRule="auto"/>
      <w:ind w:firstLine="720"/>
      <w:jc w:val="center"/>
      <w:rPr>
        <w:i/>
        <w:sz w:val="18"/>
        <w:szCs w:val="18"/>
      </w:rPr>
    </w:pPr>
  </w:p>
  <w:p w14:paraId="762D7F0A" w14:textId="77777777" w:rsidR="00ED5066" w:rsidRDefault="00ED5066" w:rsidP="00ED5066">
    <w:pPr>
      <w:spacing w:line="240" w:lineRule="auto"/>
      <w:ind w:firstLine="720"/>
      <w:jc w:val="center"/>
      <w:rPr>
        <w:i/>
        <w:sz w:val="18"/>
        <w:szCs w:val="18"/>
      </w:rPr>
    </w:pPr>
    <w:r>
      <w:rPr>
        <w:i/>
        <w:sz w:val="18"/>
        <w:szCs w:val="18"/>
      </w:rPr>
      <w:t>Questions regarding this communication can be sent to Mandy Neat, ADRE Deputy Commissioner, at 602-771-7724 or online through the ADRE Message Center</w:t>
    </w:r>
  </w:p>
  <w:p w14:paraId="1009E707" w14:textId="389B73EB" w:rsidR="008F5BCE" w:rsidRPr="00ED5066" w:rsidRDefault="00ED5066" w:rsidP="00ED5066">
    <w:pPr>
      <w:spacing w:line="240" w:lineRule="auto"/>
      <w:ind w:firstLine="720"/>
      <w:jc w:val="center"/>
      <w:rPr>
        <w:color w:val="369992"/>
        <w:sz w:val="20"/>
        <w:szCs w:val="20"/>
      </w:rPr>
    </w:pPr>
    <w:r>
      <w:rPr>
        <w:i/>
        <w:sz w:val="18"/>
        <w:szCs w:val="18"/>
      </w:rPr>
      <w:t xml:space="preserve">Page </w:t>
    </w:r>
    <w:r>
      <w:rPr>
        <w:i/>
        <w:sz w:val="18"/>
        <w:szCs w:val="18"/>
      </w:rPr>
      <w:fldChar w:fldCharType="begin"/>
    </w:r>
    <w:r>
      <w:rPr>
        <w:i/>
        <w:sz w:val="18"/>
        <w:szCs w:val="18"/>
      </w:rPr>
      <w:instrText>PAGE</w:instrText>
    </w:r>
    <w:r>
      <w:rPr>
        <w:i/>
        <w:sz w:val="18"/>
        <w:szCs w:val="18"/>
      </w:rPr>
      <w:fldChar w:fldCharType="separate"/>
    </w:r>
    <w:r>
      <w:rPr>
        <w:i/>
        <w:sz w:val="18"/>
        <w:szCs w:val="18"/>
      </w:rPr>
      <w:t>2</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6E00" w14:textId="77777777" w:rsidR="00716EDD" w:rsidRDefault="00716EDD">
      <w:pPr>
        <w:spacing w:line="240" w:lineRule="auto"/>
      </w:pPr>
      <w:r>
        <w:separator/>
      </w:r>
    </w:p>
  </w:footnote>
  <w:footnote w:type="continuationSeparator" w:id="0">
    <w:p w14:paraId="34ECD759" w14:textId="77777777" w:rsidR="00716EDD" w:rsidRDefault="00716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6768" w14:textId="77777777" w:rsidR="000A6D0B" w:rsidRDefault="000A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29C" w14:textId="77777777" w:rsidR="000A6D0B" w:rsidRDefault="000A6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0" w:type="dxa"/>
      <w:tblCellMar>
        <w:top w:w="15" w:type="dxa"/>
        <w:left w:w="15" w:type="dxa"/>
        <w:bottom w:w="15" w:type="dxa"/>
        <w:right w:w="15" w:type="dxa"/>
      </w:tblCellMar>
      <w:tblLook w:val="04A0" w:firstRow="1" w:lastRow="0" w:firstColumn="1" w:lastColumn="0" w:noHBand="0" w:noVBand="1"/>
    </w:tblPr>
    <w:tblGrid>
      <w:gridCol w:w="1156"/>
      <w:gridCol w:w="7664"/>
      <w:gridCol w:w="2070"/>
    </w:tblGrid>
    <w:tr w:rsidR="00ED5066" w:rsidRPr="00B653AE" w14:paraId="7850C982" w14:textId="77777777" w:rsidTr="007A67BE">
      <w:trPr>
        <w:trHeight w:val="951"/>
      </w:trPr>
      <w:tc>
        <w:tcPr>
          <w:tcW w:w="1156" w:type="dxa"/>
          <w:tcBorders>
            <w:top w:val="single" w:sz="8" w:space="0" w:color="FFFFFF"/>
            <w:left w:val="single" w:sz="8" w:space="0" w:color="FFFFFF"/>
            <w:bottom w:val="single" w:sz="12" w:space="0" w:color="369992"/>
            <w:right w:val="single" w:sz="12" w:space="0" w:color="FFFFFF"/>
          </w:tcBorders>
          <w:tcMar>
            <w:top w:w="100" w:type="dxa"/>
            <w:left w:w="100" w:type="dxa"/>
            <w:bottom w:w="100" w:type="dxa"/>
            <w:right w:w="100" w:type="dxa"/>
          </w:tcMar>
          <w:hideMark/>
        </w:tcPr>
        <w:p w14:paraId="56F45B47" w14:textId="77777777" w:rsidR="00ED5066" w:rsidRPr="00B653AE" w:rsidRDefault="00ED5066" w:rsidP="00ED5066">
          <w:pPr>
            <w:spacing w:line="240" w:lineRule="auto"/>
            <w:rPr>
              <w:rFonts w:ascii="Times New Roman" w:eastAsia="Times New Roman" w:hAnsi="Times New Roman" w:cs="Times New Roman"/>
              <w:sz w:val="24"/>
              <w:szCs w:val="24"/>
            </w:rPr>
          </w:pPr>
        </w:p>
      </w:tc>
      <w:tc>
        <w:tcPr>
          <w:tcW w:w="7664" w:type="dxa"/>
          <w:tcBorders>
            <w:top w:val="single" w:sz="8" w:space="0" w:color="FFFFFF"/>
            <w:left w:val="single" w:sz="12" w:space="0" w:color="FFFFFF"/>
            <w:bottom w:val="single" w:sz="12" w:space="0" w:color="369992"/>
            <w:right w:val="single" w:sz="12" w:space="0" w:color="369992"/>
          </w:tcBorders>
          <w:tcMar>
            <w:top w:w="100" w:type="dxa"/>
            <w:left w:w="100" w:type="dxa"/>
            <w:bottom w:w="100" w:type="dxa"/>
            <w:right w:w="100" w:type="dxa"/>
          </w:tcMar>
          <w:hideMark/>
        </w:tcPr>
        <w:p w14:paraId="775EA2CF" w14:textId="77777777" w:rsidR="00ED5066" w:rsidRPr="00C5089D" w:rsidRDefault="00ED5066" w:rsidP="00ED5066">
          <w:pPr>
            <w:spacing w:line="240" w:lineRule="auto"/>
            <w:jc w:val="right"/>
            <w:rPr>
              <w:rFonts w:eastAsia="Times New Roman"/>
              <w:color w:val="369992"/>
            </w:rPr>
          </w:pPr>
          <w:r w:rsidRPr="00B653AE">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5A5DD4F3" wp14:editId="5CBF4F3C">
                <wp:simplePos x="0" y="0"/>
                <wp:positionH relativeFrom="column">
                  <wp:posOffset>-919480</wp:posOffset>
                </wp:positionH>
                <wp:positionV relativeFrom="paragraph">
                  <wp:posOffset>-11873</wp:posOffset>
                </wp:positionV>
                <wp:extent cx="2964180" cy="617220"/>
                <wp:effectExtent l="0" t="0" r="0" b="0"/>
                <wp:wrapNone/>
                <wp:docPr id="3" name="Picture 3" descr="https://lh7-rt.googleusercontent.com/docsz/AD_4nXdV0eX-7h7SYWwHela9An3orr5pNqT9BrsU2NuJoLs6zlymAwKc_U1t5WmsntfQwGa4gKFZUflNsCT321Yu4t4LWHsMIk8o2c7_jaQcdBM03N3fiWhSM8EWmHxUHibheoxAne2Loh0ak2Rq3GYDoJMvPEQ?key=CxG0Zd94ZzwuzT4K1r3oyf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dV0eX-7h7SYWwHela9An3orr5pNqT9BrsU2NuJoLs6zlymAwKc_U1t5WmsntfQwGa4gKFZUflNsCT321Yu4t4LWHsMIk8o2c7_jaQcdBM03N3fiWhSM8EWmHxUHibheoxAne2Loh0ak2Rq3GYDoJMvPEQ?key=CxG0Zd94ZzwuzT4K1r3oyf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4180" cy="617220"/>
                        </a:xfrm>
                        <a:prstGeom prst="rect">
                          <a:avLst/>
                        </a:prstGeom>
                        <a:noFill/>
                        <a:ln>
                          <a:noFill/>
                        </a:ln>
                      </pic:spPr>
                    </pic:pic>
                  </a:graphicData>
                </a:graphic>
              </wp:anchor>
            </w:drawing>
          </w:r>
          <w:r w:rsidRPr="00B653AE">
            <w:rPr>
              <w:rFonts w:eastAsia="Times New Roman"/>
              <w:color w:val="369992"/>
            </w:rPr>
            <w:t>100 North 15th Avenue, Suite 201</w:t>
          </w:r>
        </w:p>
        <w:p w14:paraId="0498CE3F" w14:textId="77777777" w:rsidR="00ED5066" w:rsidRDefault="00ED5066" w:rsidP="00ED5066">
          <w:pPr>
            <w:spacing w:line="240" w:lineRule="auto"/>
            <w:jc w:val="right"/>
            <w:rPr>
              <w:rFonts w:eastAsia="Times New Roman"/>
              <w:color w:val="369992"/>
            </w:rPr>
          </w:pPr>
          <w:r w:rsidRPr="00B653AE">
            <w:rPr>
              <w:rFonts w:eastAsia="Times New Roman"/>
              <w:color w:val="369992"/>
            </w:rPr>
            <w:t>Phoenix, AZ, 85007</w:t>
          </w:r>
          <w:r>
            <w:rPr>
              <w:rFonts w:eastAsia="Times New Roman"/>
              <w:color w:val="369992"/>
            </w:rPr>
            <w:br/>
          </w:r>
        </w:p>
        <w:p w14:paraId="752D01DA" w14:textId="77777777" w:rsidR="00ED5066" w:rsidRPr="00B653AE" w:rsidRDefault="00ED5066" w:rsidP="00ED5066">
          <w:pPr>
            <w:spacing w:line="240" w:lineRule="auto"/>
            <w:jc w:val="right"/>
            <w:rPr>
              <w:rFonts w:ascii="Times New Roman" w:eastAsia="Times New Roman" w:hAnsi="Times New Roman" w:cs="Times New Roman"/>
              <w:sz w:val="24"/>
              <w:szCs w:val="24"/>
            </w:rPr>
          </w:pPr>
          <w:r w:rsidRPr="00B653AE">
            <w:rPr>
              <w:rFonts w:eastAsia="Times New Roman"/>
              <w:color w:val="369992"/>
            </w:rPr>
            <w:t>602.771.7700</w:t>
          </w:r>
        </w:p>
      </w:tc>
      <w:tc>
        <w:tcPr>
          <w:tcW w:w="2070" w:type="dxa"/>
          <w:tcBorders>
            <w:top w:val="single" w:sz="8" w:space="0" w:color="FFFFFF"/>
            <w:left w:val="single" w:sz="12" w:space="0" w:color="369992"/>
            <w:bottom w:val="single" w:sz="12" w:space="0" w:color="369992"/>
            <w:right w:val="single" w:sz="8" w:space="0" w:color="FFFFFF"/>
          </w:tcBorders>
          <w:tcMar>
            <w:top w:w="100" w:type="dxa"/>
            <w:left w:w="100" w:type="dxa"/>
            <w:bottom w:w="100" w:type="dxa"/>
            <w:right w:w="100" w:type="dxa"/>
          </w:tcMar>
          <w:hideMark/>
        </w:tcPr>
        <w:p w14:paraId="5AAD0686" w14:textId="77777777" w:rsidR="00ED5066" w:rsidRPr="00B653AE" w:rsidRDefault="00ED5066" w:rsidP="00ED5066">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KATIE HOBBS</w:t>
          </w:r>
        </w:p>
        <w:p w14:paraId="3AE0261C" w14:textId="77777777" w:rsidR="00ED5066" w:rsidRPr="00B653AE" w:rsidRDefault="00ED5066" w:rsidP="00ED5066">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GOVERNOR</w:t>
          </w:r>
        </w:p>
        <w:p w14:paraId="4422DB6F" w14:textId="77777777" w:rsidR="00ED5066" w:rsidRPr="00B653AE" w:rsidRDefault="00ED5066" w:rsidP="00ED5066">
          <w:pPr>
            <w:spacing w:line="240" w:lineRule="auto"/>
            <w:rPr>
              <w:rFonts w:ascii="Times New Roman" w:eastAsia="Times New Roman" w:hAnsi="Times New Roman" w:cs="Times New Roman"/>
              <w:sz w:val="24"/>
              <w:szCs w:val="24"/>
            </w:rPr>
          </w:pPr>
        </w:p>
        <w:p w14:paraId="0849144F" w14:textId="77777777" w:rsidR="00ED5066" w:rsidRPr="00B653AE" w:rsidRDefault="00ED5066" w:rsidP="00ED5066">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SUSAN NICOLSON</w:t>
          </w:r>
        </w:p>
        <w:p w14:paraId="769CCC26" w14:textId="77777777" w:rsidR="00ED5066" w:rsidRPr="00B653AE" w:rsidRDefault="00ED5066" w:rsidP="00ED5066">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COMMISSIONER</w:t>
          </w:r>
        </w:p>
      </w:tc>
    </w:tr>
  </w:tbl>
  <w:p w14:paraId="5927B9FB" w14:textId="77777777" w:rsidR="00ED5066" w:rsidRDefault="00ED5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CE"/>
    <w:rsid w:val="000A6D0B"/>
    <w:rsid w:val="003310B7"/>
    <w:rsid w:val="00716EDD"/>
    <w:rsid w:val="008F5BCE"/>
    <w:rsid w:val="00C51D72"/>
    <w:rsid w:val="00E76E52"/>
    <w:rsid w:val="00E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1707"/>
  <w15:docId w15:val="{6D27468D-8B74-4719-908F-CE3B075A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D5066"/>
    <w:pPr>
      <w:tabs>
        <w:tab w:val="center" w:pos="4680"/>
        <w:tab w:val="right" w:pos="9360"/>
      </w:tabs>
      <w:spacing w:line="240" w:lineRule="auto"/>
    </w:pPr>
  </w:style>
  <w:style w:type="character" w:customStyle="1" w:styleId="HeaderChar">
    <w:name w:val="Header Char"/>
    <w:basedOn w:val="DefaultParagraphFont"/>
    <w:link w:val="Header"/>
    <w:uiPriority w:val="99"/>
    <w:rsid w:val="00ED5066"/>
  </w:style>
  <w:style w:type="paragraph" w:styleId="Footer">
    <w:name w:val="footer"/>
    <w:basedOn w:val="Normal"/>
    <w:link w:val="FooterChar"/>
    <w:uiPriority w:val="99"/>
    <w:unhideWhenUsed/>
    <w:rsid w:val="00ED5066"/>
    <w:pPr>
      <w:tabs>
        <w:tab w:val="center" w:pos="4680"/>
        <w:tab w:val="right" w:pos="9360"/>
      </w:tabs>
      <w:spacing w:line="240" w:lineRule="auto"/>
    </w:pPr>
  </w:style>
  <w:style w:type="character" w:customStyle="1" w:styleId="FooterChar">
    <w:name w:val="Footer Char"/>
    <w:basedOn w:val="DefaultParagraphFont"/>
    <w:link w:val="Footer"/>
    <w:uiPriority w:val="99"/>
    <w:rsid w:val="00ED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zleg.gov/viewdocument/?docName=https://www.azleg.gov/ars/41/01093-08.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azleg.gov/viewdocument/?docName=https://www.azleg.gov/ars/41/01030.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zleg.gov/viewdocument/?docName=https://www.azleg.gov/ars/41/01030.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M Andert</cp:lastModifiedBy>
  <cp:revision>3</cp:revision>
  <dcterms:created xsi:type="dcterms:W3CDTF">2025-06-26T18:54:00Z</dcterms:created>
  <dcterms:modified xsi:type="dcterms:W3CDTF">2025-06-26T19:12:00Z</dcterms:modified>
</cp:coreProperties>
</file>