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93" w:rsidRDefault="00FF4693">
      <w:pPr>
        <w:jc w:val="both"/>
        <w:rPr>
          <w:b/>
          <w:sz w:val="20"/>
        </w:rPr>
      </w:pPr>
      <w:bookmarkStart w:id="0" w:name="_GoBack"/>
      <w:bookmarkEnd w:id="0"/>
      <w:r>
        <w:rPr>
          <w:b/>
          <w:sz w:val="20"/>
        </w:rPr>
        <w:tab/>
      </w:r>
      <w:r>
        <w:rPr>
          <w:b/>
          <w:sz w:val="20"/>
        </w:rPr>
        <w:tab/>
      </w:r>
      <w:r>
        <w:rPr>
          <w:b/>
          <w:sz w:val="20"/>
        </w:rPr>
        <w:tab/>
      </w:r>
      <w:r>
        <w:rPr>
          <w:b/>
          <w:sz w:val="20"/>
        </w:rPr>
        <w:tab/>
      </w:r>
    </w:p>
    <w:p w:rsidR="00FF4693" w:rsidRDefault="00E124E8">
      <w:pPr>
        <w:jc w:val="center"/>
        <w:rPr>
          <w:b/>
          <w:sz w:val="28"/>
        </w:rPr>
      </w:pPr>
      <w:r>
        <w:rPr>
          <w:noProof/>
        </w:rPr>
        <mc:AlternateContent>
          <mc:Choice Requires="wps">
            <w:drawing>
              <wp:anchor distT="0" distB="0" distL="114300" distR="114300" simplePos="0" relativeHeight="251657216" behindDoc="0" locked="0" layoutInCell="0" allowOverlap="1">
                <wp:simplePos x="0" y="0"/>
                <wp:positionH relativeFrom="margin">
                  <wp:posOffset>4846320</wp:posOffset>
                </wp:positionH>
                <wp:positionV relativeFrom="margin">
                  <wp:posOffset>182880</wp:posOffset>
                </wp:positionV>
                <wp:extent cx="1463675" cy="10064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693" w:rsidRDefault="00FF46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1.6pt;margin-top:14.4pt;width:115.25pt;height:7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7R3gIAAF8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" o:allowincell="f" filled="f" stroked="f" strokeweight="0">
                <v:textbox inset="0,0,0,0">
                  <w:txbxContent>
                    <w:p w:rsidR="00FF4693" w:rsidRDefault="00FF4693"/>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91440</wp:posOffset>
                </wp:positionH>
                <wp:positionV relativeFrom="margin">
                  <wp:posOffset>182880</wp:posOffset>
                </wp:positionV>
                <wp:extent cx="1372235" cy="9150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915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693" w:rsidRDefault="00FF4693">
                            <w:pPr>
                              <w:rPr>
                                <w:sz w:val="20"/>
                              </w:rPr>
                            </w:pPr>
                            <w:r>
                              <w:rPr>
                                <w:b/>
                                <w:sz w:val="20"/>
                                <w:u w:val="single"/>
                              </w:rPr>
                              <w:t>PHOENIX OFFICE:</w:t>
                            </w:r>
                          </w:p>
                          <w:p w:rsidR="00FF4693" w:rsidRDefault="00314ACF">
                            <w:pPr>
                              <w:rPr>
                                <w:sz w:val="20"/>
                              </w:rPr>
                            </w:pPr>
                            <w:r>
                              <w:rPr>
                                <w:sz w:val="20"/>
                              </w:rPr>
                              <w:t>100 North 15</w:t>
                            </w:r>
                            <w:r w:rsidRPr="00314ACF">
                              <w:rPr>
                                <w:sz w:val="20"/>
                                <w:vertAlign w:val="superscript"/>
                              </w:rPr>
                              <w:t>th</w:t>
                            </w:r>
                            <w:r>
                              <w:rPr>
                                <w:sz w:val="20"/>
                              </w:rPr>
                              <w:t xml:space="preserve"> Avenue</w:t>
                            </w:r>
                          </w:p>
                          <w:p w:rsidR="00FF4693" w:rsidRDefault="00314ACF">
                            <w:pPr>
                              <w:rPr>
                                <w:sz w:val="20"/>
                              </w:rPr>
                            </w:pPr>
                            <w:r>
                              <w:rPr>
                                <w:sz w:val="20"/>
                              </w:rPr>
                              <w:t>Suite 201</w:t>
                            </w:r>
                          </w:p>
                          <w:p w:rsidR="00FF4693" w:rsidRDefault="00FF4693">
                            <w:pPr>
                              <w:rPr>
                                <w:sz w:val="20"/>
                              </w:rPr>
                            </w:pPr>
                            <w:r>
                              <w:rPr>
                                <w:sz w:val="20"/>
                              </w:rPr>
                              <w:t>Subdivisions Section</w:t>
                            </w:r>
                          </w:p>
                          <w:p w:rsidR="00FF4693" w:rsidRDefault="00FF4693">
                            <w:pPr>
                              <w:rPr>
                                <w:sz w:val="20"/>
                              </w:rPr>
                            </w:pPr>
                            <w:r>
                              <w:rPr>
                                <w:sz w:val="20"/>
                              </w:rPr>
                              <w:t>Phoenix, Arizona 850</w:t>
                            </w:r>
                            <w:r w:rsidR="00314ACF">
                              <w:rPr>
                                <w:sz w:val="20"/>
                              </w:rPr>
                              <w:t>07</w:t>
                            </w:r>
                          </w:p>
                          <w:p w:rsidR="00FF4693" w:rsidRDefault="004971B1">
                            <w:pPr>
                              <w:rPr>
                                <w:sz w:val="20"/>
                              </w:rPr>
                            </w:pPr>
                            <w:hyperlink r:id="rId8" w:history="1">
                              <w:r w:rsidR="00314ACF" w:rsidRPr="004726C1">
                                <w:rPr>
                                  <w:rStyle w:val="Hyperlink"/>
                                  <w:sz w:val="20"/>
                                </w:rPr>
                                <w:t>www.azre.gov</w:t>
                              </w:r>
                            </w:hyperlink>
                          </w:p>
                          <w:p w:rsidR="00314ACF" w:rsidRDefault="00314ACF">
                            <w:pPr>
                              <w:rPr>
                                <w:sz w:val="20"/>
                              </w:rPr>
                            </w:pPr>
                          </w:p>
                          <w:p w:rsidR="00314ACF" w:rsidRDefault="00314A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2pt;margin-top:14.4pt;width:108.05pt;height:7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1o4A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" o:allowincell="f" filled="f" stroked="f" strokeweight="0">
                <v:textbox inset="0,0,0,0">
                  <w:txbxContent>
                    <w:p w:rsidR="00FF4693" w:rsidRDefault="00FF4693">
                      <w:pPr>
                        <w:rPr>
                          <w:sz w:val="20"/>
                        </w:rPr>
                      </w:pPr>
                      <w:r>
                        <w:rPr>
                          <w:b/>
                          <w:sz w:val="20"/>
                          <w:u w:val="single"/>
                        </w:rPr>
                        <w:t>PHOENIX OFFICE:</w:t>
                      </w:r>
                    </w:p>
                    <w:p w:rsidR="00FF4693" w:rsidRDefault="00314ACF">
                      <w:pPr>
                        <w:rPr>
                          <w:sz w:val="20"/>
                        </w:rPr>
                      </w:pPr>
                      <w:r>
                        <w:rPr>
                          <w:sz w:val="20"/>
                        </w:rPr>
                        <w:t>100 North 15</w:t>
                      </w:r>
                      <w:r w:rsidRPr="00314ACF">
                        <w:rPr>
                          <w:sz w:val="20"/>
                          <w:vertAlign w:val="superscript"/>
                        </w:rPr>
                        <w:t>th</w:t>
                      </w:r>
                      <w:r>
                        <w:rPr>
                          <w:sz w:val="20"/>
                        </w:rPr>
                        <w:t xml:space="preserve"> Avenue</w:t>
                      </w:r>
                    </w:p>
                    <w:p w:rsidR="00FF4693" w:rsidRDefault="00314ACF">
                      <w:pPr>
                        <w:rPr>
                          <w:sz w:val="20"/>
                        </w:rPr>
                      </w:pPr>
                      <w:r>
                        <w:rPr>
                          <w:sz w:val="20"/>
                        </w:rPr>
                        <w:t>Suite 201</w:t>
                      </w:r>
                    </w:p>
                    <w:p w:rsidR="00FF4693" w:rsidRDefault="00FF4693">
                      <w:pPr>
                        <w:rPr>
                          <w:sz w:val="20"/>
                        </w:rPr>
                      </w:pPr>
                      <w:r>
                        <w:rPr>
                          <w:sz w:val="20"/>
                        </w:rPr>
                        <w:t>Subdivisions Section</w:t>
                      </w:r>
                    </w:p>
                    <w:p w:rsidR="00FF4693" w:rsidRDefault="00FF4693">
                      <w:pPr>
                        <w:rPr>
                          <w:sz w:val="20"/>
                        </w:rPr>
                      </w:pPr>
                      <w:r>
                        <w:rPr>
                          <w:sz w:val="20"/>
                        </w:rPr>
                        <w:t>Phoenix, Arizona 850</w:t>
                      </w:r>
                      <w:r w:rsidR="00314ACF">
                        <w:rPr>
                          <w:sz w:val="20"/>
                        </w:rPr>
                        <w:t>07</w:t>
                      </w:r>
                    </w:p>
                    <w:p w:rsidR="00FF4693" w:rsidRDefault="00314ACF">
                      <w:pPr>
                        <w:rPr>
                          <w:sz w:val="20"/>
                        </w:rPr>
                      </w:pPr>
                      <w:hyperlink r:id="rId9" w:history="1">
                        <w:r w:rsidRPr="004726C1">
                          <w:rPr>
                            <w:rStyle w:val="Hyperlink"/>
                            <w:sz w:val="20"/>
                          </w:rPr>
                          <w:t>www.azre.gov</w:t>
                        </w:r>
                      </w:hyperlink>
                    </w:p>
                    <w:p w:rsidR="00314ACF" w:rsidRDefault="00314ACF">
                      <w:pPr>
                        <w:rPr>
                          <w:sz w:val="20"/>
                        </w:rPr>
                      </w:pPr>
                    </w:p>
                    <w:p w:rsidR="00314ACF" w:rsidRDefault="00314ACF"/>
                  </w:txbxContent>
                </v:textbox>
                <w10:wrap anchorx="margin" anchory="margin"/>
              </v:rect>
            </w:pict>
          </mc:Fallback>
        </mc:AlternateContent>
      </w:r>
      <w:r w:rsidR="00FF4693">
        <w:rPr>
          <w:b/>
          <w:sz w:val="28"/>
        </w:rPr>
        <w:t>ARIZONA</w:t>
      </w:r>
    </w:p>
    <w:p w:rsidR="00FF4693" w:rsidRDefault="00FF4693">
      <w:pPr>
        <w:jc w:val="center"/>
        <w:rPr>
          <w:b/>
          <w:sz w:val="28"/>
        </w:rPr>
      </w:pPr>
      <w:r>
        <w:rPr>
          <w:b/>
          <w:sz w:val="28"/>
        </w:rPr>
        <w:t xml:space="preserve"> DEPARTMENT</w:t>
      </w:r>
    </w:p>
    <w:p w:rsidR="00FF4693" w:rsidRDefault="00FF4693">
      <w:pPr>
        <w:jc w:val="center"/>
        <w:rPr>
          <w:b/>
          <w:sz w:val="28"/>
        </w:rPr>
      </w:pPr>
      <w:r>
        <w:rPr>
          <w:b/>
          <w:sz w:val="28"/>
        </w:rPr>
        <w:t xml:space="preserve"> OF REAL ESTATE</w:t>
      </w:r>
    </w:p>
    <w:p w:rsidR="00FF4693" w:rsidRDefault="00FF4693">
      <w:pPr>
        <w:jc w:val="center"/>
        <w:rPr>
          <w:b/>
          <w:sz w:val="28"/>
        </w:rPr>
      </w:pPr>
    </w:p>
    <w:p w:rsidR="00FF4693" w:rsidRDefault="00FF4693">
      <w:pPr>
        <w:jc w:val="center"/>
        <w:rPr>
          <w:b/>
          <w:sz w:val="28"/>
        </w:rPr>
      </w:pPr>
    </w:p>
    <w:p w:rsidR="00FF4693" w:rsidRDefault="00FF4693">
      <w:pPr>
        <w:jc w:val="center"/>
        <w:rPr>
          <w:b/>
          <w:sz w:val="28"/>
        </w:rPr>
      </w:pPr>
      <w:r>
        <w:rPr>
          <w:rFonts w:ascii="Copperplate Gothic Bold" w:hAnsi="Copperplate Gothic Bold"/>
        </w:rPr>
        <w:t>“An Equal Employment Opportunity Agency”</w:t>
      </w:r>
    </w:p>
    <w:p w:rsidR="00FF4693" w:rsidRDefault="00FF4693">
      <w:pPr>
        <w:jc w:val="center"/>
        <w:rPr>
          <w:b/>
          <w:sz w:val="28"/>
        </w:rPr>
      </w:pPr>
    </w:p>
    <w:p w:rsidR="00FF4693" w:rsidRDefault="00FF4693">
      <w:pPr>
        <w:pStyle w:val="Heading1"/>
      </w:pPr>
      <w:r>
        <w:t xml:space="preserve">APPLICATION FOR AMENDED </w:t>
      </w:r>
    </w:p>
    <w:p w:rsidR="00FF4693" w:rsidRDefault="00FF4693">
      <w:pPr>
        <w:jc w:val="center"/>
        <w:rPr>
          <w:b/>
          <w:sz w:val="28"/>
        </w:rPr>
      </w:pPr>
      <w:r>
        <w:rPr>
          <w:b/>
          <w:sz w:val="28"/>
        </w:rPr>
        <w:t xml:space="preserve">CERTIFICATE OF AUTHORITY </w:t>
      </w:r>
    </w:p>
    <w:p w:rsidR="00FF4693" w:rsidRDefault="00FF4693">
      <w:pPr>
        <w:ind w:left="360"/>
        <w:jc w:val="center"/>
        <w:rPr>
          <w:b/>
        </w:rPr>
      </w:pPr>
    </w:p>
    <w:p w:rsidR="00FF4693" w:rsidRDefault="00FF4693">
      <w:pPr>
        <w:jc w:val="center"/>
      </w:pPr>
      <w:r>
        <w:t>General Information</w:t>
      </w:r>
    </w:p>
    <w:p w:rsidR="00FF4693" w:rsidRDefault="00FF4693">
      <w:pPr>
        <w:pStyle w:val="Header"/>
        <w:tabs>
          <w:tab w:val="clear" w:pos="4320"/>
          <w:tab w:val="clear" w:pos="8640"/>
        </w:tabs>
      </w:pPr>
    </w:p>
    <w:p w:rsidR="00FF4693" w:rsidRDefault="00FF4693" w:rsidP="00397C76">
      <w:pPr>
        <w:numPr>
          <w:ilvl w:val="0"/>
          <w:numId w:val="1"/>
        </w:numPr>
        <w:jc w:val="both"/>
      </w:pPr>
      <w:r>
        <w:t>This amendment procedure is available for use by a holder of a certificate of authority in amending its certificate of authority</w:t>
      </w:r>
      <w:r>
        <w:rPr>
          <w:b/>
        </w:rPr>
        <w:t>.</w:t>
      </w:r>
    </w:p>
    <w:p w:rsidR="00FF4693" w:rsidRDefault="00FF4693">
      <w:pPr>
        <w:jc w:val="both"/>
      </w:pPr>
    </w:p>
    <w:p w:rsidR="00FF4693" w:rsidRDefault="00FF4693" w:rsidP="00397C76">
      <w:pPr>
        <w:numPr>
          <w:ilvl w:val="0"/>
          <w:numId w:val="2"/>
        </w:numPr>
        <w:jc w:val="both"/>
      </w:pPr>
      <w:r>
        <w:t xml:space="preserve">It is unlawful for any owner or agent, after submitting to the commissioner the plan under which cemetery plots are to be offered for sale and securing approval, to change the plan materially without first notifying the commissioner in writing of the intended change. Upon the filing of any notice of change and pending amendment of the certificate of authority, the Owner/Applicant must agree to suspend sales or, with Department approval, continue sales providing the purchaser a disclosure of all changes prior to signing a contract.  Prior to continuing sales, the Owner/Applicant must obtain Department approval of the form and content of the disclosure of changes.  </w:t>
      </w:r>
    </w:p>
    <w:p w:rsidR="00FF4693" w:rsidRDefault="00FF4693">
      <w:pPr>
        <w:ind w:left="360"/>
        <w:jc w:val="both"/>
        <w:rPr>
          <w:b/>
        </w:rPr>
      </w:pPr>
    </w:p>
    <w:p w:rsidR="00FF4693" w:rsidRDefault="00FF4693" w:rsidP="00397C76">
      <w:pPr>
        <w:numPr>
          <w:ilvl w:val="0"/>
          <w:numId w:val="3"/>
        </w:numPr>
        <w:jc w:val="both"/>
      </w:pPr>
      <w:r>
        <w:t xml:space="preserve">The Department anticipates the following types of changes:  </w:t>
      </w:r>
    </w:p>
    <w:p w:rsidR="00FF4693" w:rsidRDefault="00FF4693">
      <w:pPr>
        <w:jc w:val="both"/>
      </w:pPr>
    </w:p>
    <w:p w:rsidR="00FF4693" w:rsidRDefault="00FF4693" w:rsidP="00397C76">
      <w:pPr>
        <w:numPr>
          <w:ilvl w:val="0"/>
          <w:numId w:val="4"/>
        </w:numPr>
        <w:tabs>
          <w:tab w:val="left" w:pos="720"/>
        </w:tabs>
        <w:jc w:val="both"/>
      </w:pPr>
      <w:r>
        <w:t xml:space="preserve">A material change to existing cemetery sections that changes either the location or the size of interment sites where sales have been made according to a notice previously submitted to the Department. </w:t>
      </w:r>
    </w:p>
    <w:p w:rsidR="00FF4693" w:rsidRDefault="00FF4693" w:rsidP="00397C76">
      <w:pPr>
        <w:numPr>
          <w:ilvl w:val="12"/>
          <w:numId w:val="0"/>
        </w:numPr>
        <w:ind w:left="360"/>
        <w:jc w:val="both"/>
      </w:pPr>
    </w:p>
    <w:p w:rsidR="00FF4693" w:rsidRDefault="00FF4693" w:rsidP="00397C76">
      <w:pPr>
        <w:pStyle w:val="BodyText3"/>
        <w:numPr>
          <w:ilvl w:val="12"/>
          <w:numId w:val="0"/>
        </w:numPr>
        <w:ind w:left="360"/>
        <w:rPr>
          <w:color w:val="auto"/>
        </w:rPr>
      </w:pPr>
      <w:r>
        <w:rPr>
          <w:color w:val="auto"/>
        </w:rPr>
        <w:t>The Department may determine that suspension of sales is necessary for the protection of purchasers if there is a material change that changes either the location or size of interment sites that have been sold in an existing cemetery section.  Prior to submitting this application, please contact the Department to discuss what notice the Department may require to provide purchasers in order to continue sales.</w:t>
      </w:r>
    </w:p>
    <w:p w:rsidR="00FF4693" w:rsidRDefault="00FF4693" w:rsidP="00397C76">
      <w:pPr>
        <w:numPr>
          <w:ilvl w:val="12"/>
          <w:numId w:val="0"/>
        </w:numPr>
        <w:jc w:val="both"/>
      </w:pPr>
    </w:p>
    <w:p w:rsidR="00FF4693" w:rsidRDefault="00FF4693" w:rsidP="00397C76">
      <w:pPr>
        <w:numPr>
          <w:ilvl w:val="0"/>
          <w:numId w:val="4"/>
        </w:numPr>
        <w:tabs>
          <w:tab w:val="left" w:pos="720"/>
        </w:tabs>
        <w:jc w:val="both"/>
      </w:pPr>
      <w:r>
        <w:t>A modification or addition to the cemetery that does not materially change the size or location of spaces that have been sold in existing cemetery sections.  This may include the addition of cemetery sections, niches, mausoleum crypts and other interment sites; the subdividing of existing unsold spaces and the platting of undesignated property within a section of the cemetery.</w:t>
      </w:r>
    </w:p>
    <w:p w:rsidR="00FF4693" w:rsidRDefault="00FF4693">
      <w:pPr>
        <w:tabs>
          <w:tab w:val="left" w:pos="720"/>
        </w:tabs>
        <w:ind w:left="360"/>
        <w:jc w:val="both"/>
      </w:pPr>
      <w:r>
        <w:t xml:space="preserve"> </w:t>
      </w:r>
    </w:p>
    <w:p w:rsidR="00FF4693" w:rsidRDefault="00FF4693" w:rsidP="00397C76">
      <w:pPr>
        <w:numPr>
          <w:ilvl w:val="0"/>
          <w:numId w:val="5"/>
        </w:numPr>
        <w:tabs>
          <w:tab w:val="left" w:pos="360"/>
        </w:tabs>
        <w:jc w:val="both"/>
      </w:pPr>
      <w:r>
        <w:t>The filing fee to amend a certificate of authority is $250.00.</w:t>
      </w:r>
    </w:p>
    <w:p w:rsidR="00FF4693" w:rsidRDefault="00FF4693">
      <w:pPr>
        <w:tabs>
          <w:tab w:val="left" w:pos="360"/>
        </w:tabs>
        <w:jc w:val="both"/>
      </w:pPr>
      <w:r>
        <w:t xml:space="preserve">                                                          </w:t>
      </w:r>
    </w:p>
    <w:p w:rsidR="00FF4693" w:rsidRDefault="00FF4693" w:rsidP="00397C76">
      <w:pPr>
        <w:numPr>
          <w:ilvl w:val="0"/>
          <w:numId w:val="6"/>
        </w:numPr>
        <w:tabs>
          <w:tab w:val="left" w:pos="360"/>
        </w:tabs>
        <w:jc w:val="both"/>
      </w:pPr>
      <w:r>
        <w:t>When possible, amendment applications will be processed by the Department representative who issued your certificate of authority.  Applications will be directed immediately to the appropriate representative upon receipt and initial processing by staff.</w:t>
      </w:r>
    </w:p>
    <w:p w:rsidR="00FF4693" w:rsidRDefault="00FF4693">
      <w:pPr>
        <w:rPr>
          <w:sz w:val="20"/>
        </w:rPr>
      </w:pPr>
    </w:p>
    <w:p w:rsidR="00FF4693" w:rsidRDefault="00FF4693">
      <w:pPr>
        <w:pStyle w:val="section2"/>
        <w:rPr>
          <w:color w:val="auto"/>
        </w:rPr>
      </w:pPr>
    </w:p>
    <w:p w:rsidR="00FF4693" w:rsidRDefault="00FF4693">
      <w:pPr>
        <w:jc w:val="center"/>
        <w:rPr>
          <w:b/>
        </w:rPr>
      </w:pPr>
    </w:p>
    <w:p w:rsidR="00FF4693" w:rsidRDefault="00FF4693">
      <w:pPr>
        <w:jc w:val="center"/>
        <w:rPr>
          <w:b/>
        </w:rPr>
      </w:pPr>
      <w:r>
        <w:rPr>
          <w:b/>
        </w:rPr>
        <w:t>Filing Procedures</w:t>
      </w:r>
    </w:p>
    <w:p w:rsidR="00FF4693" w:rsidRDefault="00FF4693">
      <w:pPr>
        <w:jc w:val="both"/>
      </w:pPr>
    </w:p>
    <w:p w:rsidR="00FF4693" w:rsidRDefault="00FF4693" w:rsidP="00397C76">
      <w:pPr>
        <w:numPr>
          <w:ilvl w:val="0"/>
          <w:numId w:val="7"/>
        </w:numPr>
        <w:jc w:val="both"/>
      </w:pPr>
      <w:r>
        <w:t>File the attached Application for Amended Certificate of Authority to the Department of Real Estate with the correct filing fee. If on-site inspection is deemed necessary, you will receive a bill for inspection costs.</w:t>
      </w:r>
    </w:p>
    <w:p w:rsidR="00FF4693" w:rsidRDefault="00FF4693">
      <w:pPr>
        <w:jc w:val="both"/>
      </w:pPr>
    </w:p>
    <w:p w:rsidR="00FF4693" w:rsidRDefault="00FF4693" w:rsidP="00397C76">
      <w:pPr>
        <w:numPr>
          <w:ilvl w:val="0"/>
          <w:numId w:val="8"/>
        </w:numPr>
        <w:jc w:val="both"/>
      </w:pPr>
      <w:r>
        <w:t>Provide supporting documentation related to the change(s) as necessary.</w:t>
      </w:r>
    </w:p>
    <w:p w:rsidR="00FF4693" w:rsidRDefault="00FF4693" w:rsidP="00397C76">
      <w:pPr>
        <w:numPr>
          <w:ilvl w:val="0"/>
          <w:numId w:val="9"/>
        </w:numPr>
        <w:tabs>
          <w:tab w:val="left" w:pos="720"/>
        </w:tabs>
        <w:jc w:val="both"/>
      </w:pPr>
      <w:r>
        <w:t>If this is a material change to existing cemetery sections where sales have been made according to a notice previously submitted to the Department, the applicant shall provide:</w:t>
      </w:r>
    </w:p>
    <w:p w:rsidR="00FF4693" w:rsidRDefault="00FF4693" w:rsidP="00397C76">
      <w:pPr>
        <w:numPr>
          <w:ilvl w:val="0"/>
          <w:numId w:val="10"/>
        </w:numPr>
        <w:tabs>
          <w:tab w:val="left" w:pos="720"/>
        </w:tabs>
        <w:jc w:val="both"/>
      </w:pPr>
      <w:r>
        <w:t>A complete statement of the affect of the changes if any to the size or location of existing sold interment sites</w:t>
      </w:r>
    </w:p>
    <w:p w:rsidR="00FF4693" w:rsidRDefault="00FF4693" w:rsidP="00397C76">
      <w:pPr>
        <w:numPr>
          <w:ilvl w:val="0"/>
          <w:numId w:val="10"/>
        </w:numPr>
        <w:tabs>
          <w:tab w:val="left" w:pos="720"/>
        </w:tabs>
        <w:jc w:val="both"/>
      </w:pPr>
      <w:r>
        <w:t>Maps and plats showing individual interment spaces, crypts, niches, or other interment sites</w:t>
      </w:r>
    </w:p>
    <w:p w:rsidR="00FF4693" w:rsidRDefault="00FF4693" w:rsidP="00397C76">
      <w:pPr>
        <w:pStyle w:val="BodyTextIndent2"/>
        <w:numPr>
          <w:ilvl w:val="0"/>
          <w:numId w:val="10"/>
        </w:numPr>
        <w:tabs>
          <w:tab w:val="left" w:pos="720"/>
        </w:tabs>
      </w:pPr>
      <w:r>
        <w:t>If the application is for a material change and the applicant intends to continue sales during the processing of the application for the amendment, the applicant shall submit the written notice that will be sent by the applicant to each purchaser stating that the certificate of authority is currently being amended and the reason for the amendment.  If the applicant does not intend to continue sales, the applicant shall file a statement voluntarily suspending sales in the affected cemetery section until approval of the amendment</w:t>
      </w:r>
    </w:p>
    <w:p w:rsidR="00FF4693" w:rsidRDefault="00FF4693" w:rsidP="00397C76">
      <w:pPr>
        <w:pStyle w:val="BodyTextIndent2"/>
        <w:numPr>
          <w:ilvl w:val="0"/>
          <w:numId w:val="10"/>
        </w:numPr>
        <w:tabs>
          <w:tab w:val="left" w:pos="720"/>
        </w:tabs>
      </w:pPr>
      <w:r>
        <w:t>A statement detailing any changes to contract documents, rules and regulations or other documentation submitted with the original certificate of authority.</w:t>
      </w:r>
    </w:p>
    <w:p w:rsidR="00FF4693" w:rsidRDefault="00FF4693" w:rsidP="00397C76">
      <w:pPr>
        <w:pStyle w:val="BodyTextIndent2"/>
        <w:numPr>
          <w:ilvl w:val="0"/>
          <w:numId w:val="10"/>
        </w:numPr>
        <w:tabs>
          <w:tab w:val="left" w:pos="720"/>
        </w:tabs>
      </w:pPr>
      <w:r>
        <w:t>A statement detailing any changes from the original certificate of authority in the status of the corporation or limited liability company or authorized signatories.</w:t>
      </w:r>
    </w:p>
    <w:p w:rsidR="00FF4693" w:rsidRDefault="00FF4693" w:rsidP="00397C76">
      <w:pPr>
        <w:pStyle w:val="BodyTextIndent2"/>
        <w:numPr>
          <w:ilvl w:val="0"/>
          <w:numId w:val="10"/>
        </w:numPr>
        <w:tabs>
          <w:tab w:val="left" w:pos="720"/>
        </w:tabs>
      </w:pPr>
      <w:r>
        <w:t>If this material change includes an extension of the time period as indicated in the existing application for Certificate of Authority to complete any mausoleum, columbarium, or other improvement, assurance to the department that a holder of an interment right who objects to the extension of time period may obtain a refund or obtain other suitable resolutions.</w:t>
      </w:r>
    </w:p>
    <w:p w:rsidR="00FF4693" w:rsidRDefault="00FF4693" w:rsidP="00397C76">
      <w:pPr>
        <w:pStyle w:val="BodyTextIndent2"/>
        <w:numPr>
          <w:ilvl w:val="0"/>
          <w:numId w:val="10"/>
        </w:numPr>
        <w:tabs>
          <w:tab w:val="left" w:pos="720"/>
        </w:tabs>
      </w:pPr>
      <w:r>
        <w:t>A statement that there are no valid liens against the property.</w:t>
      </w:r>
    </w:p>
    <w:p w:rsidR="00FF4693" w:rsidRDefault="00FF4693" w:rsidP="00397C76">
      <w:pPr>
        <w:pStyle w:val="BodyTextIndent2"/>
        <w:numPr>
          <w:ilvl w:val="0"/>
          <w:numId w:val="10"/>
        </w:numPr>
        <w:tabs>
          <w:tab w:val="left" w:pos="720"/>
        </w:tabs>
      </w:pPr>
      <w:r>
        <w:t>If the property was not included in the title report for the original certificate of authority or if that title report indicated liens against the property, a title report showing that there are no valid liens against the property.</w:t>
      </w:r>
    </w:p>
    <w:p w:rsidR="00FF4693" w:rsidRDefault="00FF4693" w:rsidP="00397C76">
      <w:pPr>
        <w:pStyle w:val="BodyTextIndent2"/>
        <w:numPr>
          <w:ilvl w:val="0"/>
          <w:numId w:val="10"/>
        </w:numPr>
        <w:tabs>
          <w:tab w:val="left" w:pos="720"/>
        </w:tabs>
      </w:pPr>
      <w:r>
        <w:t xml:space="preserve">A certification that the holder of the certificate of authority is incompliance with the provisions of A.R.S. §32-2194.28.  </w:t>
      </w:r>
    </w:p>
    <w:p w:rsidR="00FF4693" w:rsidRDefault="00FF4693" w:rsidP="00397C76">
      <w:pPr>
        <w:pStyle w:val="BodyTextIndent2"/>
        <w:numPr>
          <w:ilvl w:val="0"/>
          <w:numId w:val="10"/>
        </w:numPr>
        <w:tabs>
          <w:tab w:val="left" w:pos="720"/>
        </w:tabs>
      </w:pPr>
      <w:r>
        <w:t>A financial statement of the applicant</w:t>
      </w:r>
    </w:p>
    <w:p w:rsidR="00FF4693" w:rsidRDefault="00FF4693">
      <w:pPr>
        <w:pStyle w:val="BodyTextIndent2"/>
        <w:ind w:left="0"/>
      </w:pPr>
    </w:p>
    <w:p w:rsidR="00FF4693" w:rsidRDefault="00FF4693" w:rsidP="00397C76">
      <w:pPr>
        <w:pStyle w:val="BodyTextIndent2"/>
        <w:numPr>
          <w:ilvl w:val="0"/>
          <w:numId w:val="11"/>
        </w:numPr>
        <w:tabs>
          <w:tab w:val="left" w:pos="720"/>
        </w:tabs>
      </w:pPr>
      <w:r>
        <w:t>If this is a modification or addition to the cemetery without a material change to existing cemetery sections, the applicant shall provide:</w:t>
      </w:r>
    </w:p>
    <w:p w:rsidR="00FF4693" w:rsidRDefault="00FF4693" w:rsidP="00397C76">
      <w:pPr>
        <w:pStyle w:val="BodyTextIndent2"/>
        <w:numPr>
          <w:ilvl w:val="0"/>
          <w:numId w:val="10"/>
        </w:numPr>
        <w:tabs>
          <w:tab w:val="left" w:pos="720"/>
        </w:tabs>
      </w:pPr>
      <w:r>
        <w:t>Maps and plats showing individual interment spaces, crypts, niches, or other interment sites</w:t>
      </w:r>
    </w:p>
    <w:p w:rsidR="00FF4693" w:rsidRDefault="00FF4693" w:rsidP="00397C76">
      <w:pPr>
        <w:pStyle w:val="BodyTextIndent2"/>
        <w:numPr>
          <w:ilvl w:val="0"/>
          <w:numId w:val="10"/>
        </w:numPr>
        <w:tabs>
          <w:tab w:val="left" w:pos="720"/>
        </w:tabs>
      </w:pPr>
      <w:r>
        <w:t>If the property was not included in the title report for the original certificate of authority or if that title report indicated liens against the property, a title report showing that there are no valid liens against the property.</w:t>
      </w:r>
    </w:p>
    <w:p w:rsidR="00FF4693" w:rsidRDefault="00FF4693" w:rsidP="00397C76">
      <w:pPr>
        <w:pStyle w:val="BodyTextIndent2"/>
        <w:numPr>
          <w:ilvl w:val="0"/>
          <w:numId w:val="10"/>
        </w:numPr>
        <w:tabs>
          <w:tab w:val="left" w:pos="720"/>
        </w:tabs>
      </w:pPr>
      <w:r>
        <w:t>A statement detailing any changes to contract documents, rules and regulations or other documentation submitted with the original certificate of authority.</w:t>
      </w:r>
    </w:p>
    <w:p w:rsidR="00FF4693" w:rsidRDefault="00FF4693" w:rsidP="00397C76">
      <w:pPr>
        <w:pStyle w:val="BodyTextIndent2"/>
        <w:numPr>
          <w:ilvl w:val="0"/>
          <w:numId w:val="10"/>
        </w:numPr>
        <w:tabs>
          <w:tab w:val="left" w:pos="720"/>
        </w:tabs>
      </w:pPr>
      <w:r>
        <w:t>A statement detailing any other changes in the information provided on the last application for a certificate of authority or application for amendment of a certificate of authority.</w:t>
      </w:r>
    </w:p>
    <w:p w:rsidR="00FF4693" w:rsidRDefault="00FF4693" w:rsidP="00397C76">
      <w:pPr>
        <w:pStyle w:val="BodyTextIndent2"/>
        <w:numPr>
          <w:ilvl w:val="0"/>
          <w:numId w:val="10"/>
        </w:numPr>
        <w:tabs>
          <w:tab w:val="left" w:pos="720"/>
        </w:tabs>
      </w:pPr>
      <w:r>
        <w:t xml:space="preserve">A certification that the holder of the certificate of authority is incompliance with the provisions of A.R.S. §32-2194.28.  </w:t>
      </w:r>
    </w:p>
    <w:p w:rsidR="00FF4693" w:rsidRDefault="00FF4693">
      <w:pPr>
        <w:jc w:val="both"/>
      </w:pPr>
    </w:p>
    <w:p w:rsidR="00FF4693" w:rsidRDefault="00FF4693">
      <w:pPr>
        <w:jc w:val="both"/>
      </w:pPr>
    </w:p>
    <w:p w:rsidR="00FF4693" w:rsidRDefault="00FF4693" w:rsidP="00397C76">
      <w:pPr>
        <w:numPr>
          <w:ilvl w:val="0"/>
          <w:numId w:val="12"/>
        </w:numPr>
        <w:jc w:val="both"/>
      </w:pPr>
      <w:r>
        <w:lastRenderedPageBreak/>
        <w:t>The Department is required by law to process this application in accordance with established statutory time frames. The following is a description of the time frames and procedures with which the Department and applicant must comply.</w:t>
      </w:r>
    </w:p>
    <w:p w:rsidR="00FF4693" w:rsidRDefault="00FF4693" w:rsidP="00397C76">
      <w:pPr>
        <w:numPr>
          <w:ilvl w:val="0"/>
          <w:numId w:val="13"/>
        </w:numPr>
        <w:jc w:val="both"/>
      </w:pPr>
      <w:r>
        <w:rPr>
          <w:b/>
        </w:rPr>
        <w:t>Overall time-frame</w:t>
      </w:r>
      <w:r>
        <w:rPr>
          <w:b/>
          <w:sz w:val="32"/>
        </w:rPr>
        <w:t>.</w:t>
      </w:r>
      <w:r>
        <w:t xml:space="preserve">  The Department shall issue or deny an amendment to a certificate of authority within the overall time-frame after receipt of the complete application.  The overall time-frame is the total of the number of days provided in the administrative completeness review and the substantive review.</w:t>
      </w:r>
    </w:p>
    <w:p w:rsidR="00FF4693" w:rsidRDefault="00FF4693">
      <w:pPr>
        <w:rPr>
          <w:sz w:val="20"/>
        </w:rPr>
      </w:pPr>
    </w:p>
    <w:p w:rsidR="00FF4693" w:rsidRDefault="00FF4693">
      <w:pPr>
        <w:ind w:left="540"/>
        <w:rPr>
          <w:sz w:val="20"/>
        </w:rPr>
      </w:pPr>
    </w:p>
    <w:tbl>
      <w:tblPr>
        <w:tblW w:w="0" w:type="auto"/>
        <w:tblLayout w:type="fixed"/>
        <w:tblCellMar>
          <w:left w:w="30" w:type="dxa"/>
          <w:right w:w="30" w:type="dxa"/>
        </w:tblCellMar>
        <w:tblLook w:val="0000" w:firstRow="0" w:lastRow="0" w:firstColumn="0" w:lastColumn="0" w:noHBand="0" w:noVBand="0"/>
      </w:tblPr>
      <w:tblGrid>
        <w:gridCol w:w="1470"/>
        <w:gridCol w:w="1754"/>
        <w:gridCol w:w="1406"/>
        <w:gridCol w:w="1623"/>
        <w:gridCol w:w="1379"/>
        <w:gridCol w:w="1217"/>
      </w:tblGrid>
      <w:tr w:rsidR="00FF4693">
        <w:trPr>
          <w:trHeight w:val="262"/>
        </w:trPr>
        <w:tc>
          <w:tcPr>
            <w:tcW w:w="1470" w:type="dxa"/>
            <w:tcBorders>
              <w:top w:val="nil"/>
              <w:left w:val="nil"/>
              <w:bottom w:val="nil"/>
              <w:right w:val="nil"/>
            </w:tcBorders>
          </w:tcPr>
          <w:p w:rsidR="00FF4693" w:rsidRDefault="00FF4693">
            <w:pPr>
              <w:jc w:val="right"/>
              <w:rPr>
                <w:rFonts w:ascii="Arial" w:hAnsi="Arial"/>
                <w:sz w:val="20"/>
              </w:rPr>
            </w:pPr>
          </w:p>
        </w:tc>
        <w:tc>
          <w:tcPr>
            <w:tcW w:w="1754" w:type="dxa"/>
            <w:tcBorders>
              <w:top w:val="nil"/>
              <w:left w:val="nil"/>
              <w:bottom w:val="nil"/>
              <w:right w:val="nil"/>
            </w:tcBorders>
          </w:tcPr>
          <w:p w:rsidR="00FF4693" w:rsidRDefault="00FF4693">
            <w:pPr>
              <w:jc w:val="center"/>
              <w:rPr>
                <w:rFonts w:ascii="Arial" w:hAnsi="Arial"/>
                <w:b/>
                <w:sz w:val="20"/>
              </w:rPr>
            </w:pPr>
            <w:r>
              <w:rPr>
                <w:rFonts w:ascii="Arial" w:hAnsi="Arial"/>
                <w:b/>
                <w:sz w:val="20"/>
              </w:rPr>
              <w:t>Administrative</w:t>
            </w:r>
          </w:p>
        </w:tc>
        <w:tc>
          <w:tcPr>
            <w:tcW w:w="1406" w:type="dxa"/>
            <w:tcBorders>
              <w:top w:val="nil"/>
              <w:left w:val="nil"/>
              <w:bottom w:val="nil"/>
              <w:right w:val="nil"/>
            </w:tcBorders>
          </w:tcPr>
          <w:p w:rsidR="00FF4693" w:rsidRDefault="00FF4693">
            <w:pPr>
              <w:jc w:val="center"/>
              <w:rPr>
                <w:rFonts w:ascii="Arial" w:hAnsi="Arial"/>
                <w:sz w:val="20"/>
              </w:rPr>
            </w:pPr>
            <w:r>
              <w:rPr>
                <w:rFonts w:ascii="Arial" w:hAnsi="Arial"/>
                <w:sz w:val="20"/>
              </w:rPr>
              <w:t>Deficiency</w:t>
            </w:r>
          </w:p>
        </w:tc>
        <w:tc>
          <w:tcPr>
            <w:tcW w:w="1623" w:type="dxa"/>
            <w:tcBorders>
              <w:top w:val="nil"/>
              <w:left w:val="nil"/>
              <w:bottom w:val="nil"/>
              <w:right w:val="nil"/>
            </w:tcBorders>
          </w:tcPr>
          <w:p w:rsidR="00FF4693" w:rsidRDefault="00FF4693">
            <w:pPr>
              <w:jc w:val="center"/>
              <w:rPr>
                <w:rFonts w:ascii="Arial" w:hAnsi="Arial"/>
                <w:b/>
                <w:sz w:val="20"/>
              </w:rPr>
            </w:pPr>
            <w:r>
              <w:rPr>
                <w:rFonts w:ascii="Arial" w:hAnsi="Arial"/>
                <w:b/>
                <w:sz w:val="20"/>
              </w:rPr>
              <w:t xml:space="preserve">Substantive </w:t>
            </w:r>
          </w:p>
        </w:tc>
        <w:tc>
          <w:tcPr>
            <w:tcW w:w="1379" w:type="dxa"/>
            <w:tcBorders>
              <w:top w:val="nil"/>
              <w:left w:val="nil"/>
              <w:bottom w:val="nil"/>
              <w:right w:val="nil"/>
            </w:tcBorders>
          </w:tcPr>
          <w:p w:rsidR="00FF4693" w:rsidRDefault="00FF4693">
            <w:pPr>
              <w:jc w:val="center"/>
              <w:rPr>
                <w:rFonts w:ascii="Arial" w:hAnsi="Arial"/>
                <w:sz w:val="20"/>
              </w:rPr>
            </w:pPr>
            <w:r>
              <w:rPr>
                <w:rFonts w:ascii="Arial" w:hAnsi="Arial"/>
                <w:sz w:val="20"/>
              </w:rPr>
              <w:t>Additional</w:t>
            </w:r>
          </w:p>
        </w:tc>
        <w:tc>
          <w:tcPr>
            <w:tcW w:w="1217" w:type="dxa"/>
            <w:tcBorders>
              <w:top w:val="nil"/>
              <w:left w:val="nil"/>
              <w:bottom w:val="nil"/>
              <w:right w:val="nil"/>
            </w:tcBorders>
          </w:tcPr>
          <w:p w:rsidR="00FF4693" w:rsidRDefault="00FF4693">
            <w:pPr>
              <w:jc w:val="center"/>
              <w:rPr>
                <w:rFonts w:ascii="Arial" w:hAnsi="Arial"/>
                <w:b/>
                <w:sz w:val="20"/>
              </w:rPr>
            </w:pPr>
            <w:r>
              <w:rPr>
                <w:rFonts w:ascii="Arial" w:hAnsi="Arial"/>
                <w:b/>
                <w:sz w:val="20"/>
              </w:rPr>
              <w:t>Overall</w:t>
            </w:r>
          </w:p>
        </w:tc>
      </w:tr>
      <w:tr w:rsidR="00FF4693">
        <w:trPr>
          <w:trHeight w:val="262"/>
        </w:trPr>
        <w:tc>
          <w:tcPr>
            <w:tcW w:w="1470" w:type="dxa"/>
            <w:tcBorders>
              <w:top w:val="nil"/>
              <w:left w:val="nil"/>
              <w:bottom w:val="nil"/>
              <w:right w:val="nil"/>
            </w:tcBorders>
          </w:tcPr>
          <w:p w:rsidR="00FF4693" w:rsidRDefault="00FF4693">
            <w:pPr>
              <w:jc w:val="right"/>
              <w:rPr>
                <w:rFonts w:ascii="Arial" w:hAnsi="Arial"/>
                <w:sz w:val="20"/>
              </w:rPr>
            </w:pPr>
          </w:p>
        </w:tc>
        <w:tc>
          <w:tcPr>
            <w:tcW w:w="1754" w:type="dxa"/>
            <w:tcBorders>
              <w:top w:val="nil"/>
              <w:left w:val="nil"/>
              <w:bottom w:val="nil"/>
              <w:right w:val="nil"/>
            </w:tcBorders>
          </w:tcPr>
          <w:p w:rsidR="00FF4693" w:rsidRDefault="00FF4693">
            <w:pPr>
              <w:jc w:val="center"/>
              <w:rPr>
                <w:rFonts w:ascii="Arial" w:hAnsi="Arial"/>
                <w:b/>
                <w:sz w:val="20"/>
              </w:rPr>
            </w:pPr>
            <w:r>
              <w:rPr>
                <w:rFonts w:ascii="Arial" w:hAnsi="Arial"/>
                <w:b/>
                <w:sz w:val="20"/>
              </w:rPr>
              <w:t>Completeness</w:t>
            </w:r>
          </w:p>
        </w:tc>
        <w:tc>
          <w:tcPr>
            <w:tcW w:w="1406" w:type="dxa"/>
            <w:tcBorders>
              <w:top w:val="nil"/>
              <w:left w:val="nil"/>
              <w:bottom w:val="nil"/>
              <w:right w:val="nil"/>
            </w:tcBorders>
          </w:tcPr>
          <w:p w:rsidR="00FF4693" w:rsidRDefault="00FF4693">
            <w:pPr>
              <w:jc w:val="center"/>
              <w:rPr>
                <w:rFonts w:ascii="Arial" w:hAnsi="Arial"/>
                <w:sz w:val="20"/>
              </w:rPr>
            </w:pPr>
            <w:r>
              <w:rPr>
                <w:rFonts w:ascii="Arial" w:hAnsi="Arial"/>
                <w:sz w:val="20"/>
              </w:rPr>
              <w:t>Completion</w:t>
            </w:r>
          </w:p>
        </w:tc>
        <w:tc>
          <w:tcPr>
            <w:tcW w:w="1623" w:type="dxa"/>
            <w:tcBorders>
              <w:top w:val="nil"/>
              <w:left w:val="nil"/>
              <w:bottom w:val="nil"/>
              <w:right w:val="nil"/>
            </w:tcBorders>
          </w:tcPr>
          <w:p w:rsidR="00FF4693" w:rsidRDefault="00FF4693">
            <w:pPr>
              <w:jc w:val="center"/>
              <w:rPr>
                <w:rFonts w:ascii="Arial" w:hAnsi="Arial"/>
                <w:b/>
                <w:sz w:val="20"/>
              </w:rPr>
            </w:pPr>
            <w:r>
              <w:rPr>
                <w:rFonts w:ascii="Arial" w:hAnsi="Arial"/>
                <w:b/>
                <w:sz w:val="20"/>
              </w:rPr>
              <w:t>Completeness</w:t>
            </w:r>
          </w:p>
        </w:tc>
        <w:tc>
          <w:tcPr>
            <w:tcW w:w="1379" w:type="dxa"/>
            <w:tcBorders>
              <w:top w:val="nil"/>
              <w:left w:val="nil"/>
              <w:bottom w:val="nil"/>
              <w:right w:val="nil"/>
            </w:tcBorders>
          </w:tcPr>
          <w:p w:rsidR="00FF4693" w:rsidRDefault="00FF4693">
            <w:pPr>
              <w:jc w:val="center"/>
              <w:rPr>
                <w:rFonts w:ascii="Arial" w:hAnsi="Arial"/>
                <w:sz w:val="20"/>
              </w:rPr>
            </w:pPr>
            <w:r>
              <w:rPr>
                <w:rFonts w:ascii="Arial" w:hAnsi="Arial"/>
                <w:sz w:val="20"/>
              </w:rPr>
              <w:t>Information</w:t>
            </w:r>
          </w:p>
        </w:tc>
        <w:tc>
          <w:tcPr>
            <w:tcW w:w="1217" w:type="dxa"/>
            <w:tcBorders>
              <w:top w:val="nil"/>
              <w:left w:val="nil"/>
              <w:bottom w:val="nil"/>
              <w:right w:val="nil"/>
            </w:tcBorders>
          </w:tcPr>
          <w:p w:rsidR="00FF4693" w:rsidRDefault="00FF4693">
            <w:pPr>
              <w:jc w:val="center"/>
              <w:rPr>
                <w:rFonts w:ascii="Arial" w:hAnsi="Arial"/>
                <w:b/>
                <w:sz w:val="20"/>
              </w:rPr>
            </w:pPr>
            <w:r>
              <w:rPr>
                <w:rFonts w:ascii="Arial" w:hAnsi="Arial"/>
                <w:b/>
                <w:sz w:val="20"/>
              </w:rPr>
              <w:t>Time-frame</w:t>
            </w:r>
          </w:p>
        </w:tc>
      </w:tr>
      <w:tr w:rsidR="00FF4693">
        <w:trPr>
          <w:trHeight w:val="262"/>
        </w:trPr>
        <w:tc>
          <w:tcPr>
            <w:tcW w:w="1470" w:type="dxa"/>
            <w:tcBorders>
              <w:top w:val="nil"/>
              <w:left w:val="nil"/>
              <w:bottom w:val="nil"/>
              <w:right w:val="nil"/>
            </w:tcBorders>
          </w:tcPr>
          <w:p w:rsidR="00FF4693" w:rsidRDefault="00FF4693">
            <w:pPr>
              <w:jc w:val="right"/>
              <w:rPr>
                <w:rFonts w:ascii="Arial" w:hAnsi="Arial"/>
                <w:sz w:val="20"/>
              </w:rPr>
            </w:pPr>
          </w:p>
        </w:tc>
        <w:tc>
          <w:tcPr>
            <w:tcW w:w="1754" w:type="dxa"/>
            <w:tcBorders>
              <w:top w:val="nil"/>
              <w:left w:val="nil"/>
              <w:bottom w:val="nil"/>
              <w:right w:val="nil"/>
            </w:tcBorders>
          </w:tcPr>
          <w:p w:rsidR="00FF4693" w:rsidRDefault="00FF4693">
            <w:pPr>
              <w:jc w:val="center"/>
              <w:rPr>
                <w:rFonts w:ascii="Arial" w:hAnsi="Arial"/>
                <w:b/>
                <w:sz w:val="20"/>
              </w:rPr>
            </w:pPr>
            <w:r>
              <w:rPr>
                <w:rFonts w:ascii="Arial" w:hAnsi="Arial"/>
                <w:b/>
                <w:sz w:val="20"/>
              </w:rPr>
              <w:t>Review</w:t>
            </w:r>
          </w:p>
        </w:tc>
        <w:tc>
          <w:tcPr>
            <w:tcW w:w="1406" w:type="dxa"/>
            <w:tcBorders>
              <w:top w:val="nil"/>
              <w:left w:val="nil"/>
              <w:bottom w:val="nil"/>
              <w:right w:val="nil"/>
            </w:tcBorders>
          </w:tcPr>
          <w:p w:rsidR="00FF4693" w:rsidRDefault="00FF4693">
            <w:pPr>
              <w:jc w:val="center"/>
              <w:rPr>
                <w:rFonts w:ascii="Arial" w:hAnsi="Arial"/>
                <w:sz w:val="20"/>
              </w:rPr>
            </w:pPr>
            <w:r>
              <w:rPr>
                <w:rFonts w:ascii="Arial" w:hAnsi="Arial"/>
                <w:sz w:val="20"/>
              </w:rPr>
              <w:t>Period</w:t>
            </w:r>
          </w:p>
        </w:tc>
        <w:tc>
          <w:tcPr>
            <w:tcW w:w="1623" w:type="dxa"/>
            <w:tcBorders>
              <w:top w:val="nil"/>
              <w:left w:val="nil"/>
              <w:bottom w:val="nil"/>
              <w:right w:val="nil"/>
            </w:tcBorders>
          </w:tcPr>
          <w:p w:rsidR="00FF4693" w:rsidRDefault="00FF4693">
            <w:pPr>
              <w:jc w:val="center"/>
              <w:rPr>
                <w:rFonts w:ascii="Arial" w:hAnsi="Arial"/>
                <w:b/>
                <w:sz w:val="20"/>
              </w:rPr>
            </w:pPr>
            <w:r>
              <w:rPr>
                <w:rFonts w:ascii="Arial" w:hAnsi="Arial"/>
                <w:b/>
                <w:sz w:val="20"/>
              </w:rPr>
              <w:t>Review</w:t>
            </w:r>
          </w:p>
        </w:tc>
        <w:tc>
          <w:tcPr>
            <w:tcW w:w="1379" w:type="dxa"/>
            <w:tcBorders>
              <w:top w:val="nil"/>
              <w:left w:val="nil"/>
              <w:bottom w:val="nil"/>
              <w:right w:val="nil"/>
            </w:tcBorders>
          </w:tcPr>
          <w:p w:rsidR="00FF4693" w:rsidRDefault="00FF4693">
            <w:pPr>
              <w:jc w:val="center"/>
              <w:rPr>
                <w:rFonts w:ascii="Arial" w:hAnsi="Arial"/>
                <w:sz w:val="20"/>
              </w:rPr>
            </w:pPr>
            <w:r>
              <w:rPr>
                <w:rFonts w:ascii="Arial" w:hAnsi="Arial"/>
                <w:sz w:val="20"/>
              </w:rPr>
              <w:t>Period</w:t>
            </w:r>
          </w:p>
        </w:tc>
        <w:tc>
          <w:tcPr>
            <w:tcW w:w="1217" w:type="dxa"/>
            <w:tcBorders>
              <w:top w:val="nil"/>
              <w:left w:val="nil"/>
              <w:bottom w:val="nil"/>
              <w:right w:val="nil"/>
            </w:tcBorders>
          </w:tcPr>
          <w:p w:rsidR="00FF4693" w:rsidRDefault="00FF4693">
            <w:pPr>
              <w:jc w:val="center"/>
              <w:rPr>
                <w:rFonts w:ascii="Arial" w:hAnsi="Arial"/>
                <w:b/>
                <w:sz w:val="20"/>
              </w:rPr>
            </w:pPr>
          </w:p>
        </w:tc>
      </w:tr>
      <w:tr w:rsidR="00FF4693">
        <w:trPr>
          <w:trHeight w:val="262"/>
        </w:trPr>
        <w:tc>
          <w:tcPr>
            <w:tcW w:w="1470" w:type="dxa"/>
            <w:tcBorders>
              <w:top w:val="nil"/>
              <w:left w:val="nil"/>
              <w:bottom w:val="nil"/>
              <w:right w:val="nil"/>
            </w:tcBorders>
          </w:tcPr>
          <w:p w:rsidR="00FF4693" w:rsidRDefault="00FF4693">
            <w:pPr>
              <w:jc w:val="center"/>
              <w:rPr>
                <w:rFonts w:ascii="Arial" w:hAnsi="Arial"/>
                <w:sz w:val="20"/>
              </w:rPr>
            </w:pPr>
            <w:r>
              <w:rPr>
                <w:rFonts w:ascii="Arial" w:hAnsi="Arial"/>
                <w:sz w:val="20"/>
              </w:rPr>
              <w:t>Original</w:t>
            </w:r>
          </w:p>
        </w:tc>
        <w:tc>
          <w:tcPr>
            <w:tcW w:w="1754" w:type="dxa"/>
            <w:tcBorders>
              <w:top w:val="nil"/>
              <w:left w:val="nil"/>
              <w:bottom w:val="nil"/>
              <w:right w:val="nil"/>
            </w:tcBorders>
          </w:tcPr>
          <w:p w:rsidR="00FF4693" w:rsidRDefault="00FF4693">
            <w:pPr>
              <w:jc w:val="right"/>
              <w:rPr>
                <w:rFonts w:ascii="Arial" w:hAnsi="Arial"/>
                <w:b/>
                <w:sz w:val="20"/>
              </w:rPr>
            </w:pPr>
          </w:p>
        </w:tc>
        <w:tc>
          <w:tcPr>
            <w:tcW w:w="1406" w:type="dxa"/>
            <w:tcBorders>
              <w:top w:val="nil"/>
              <w:left w:val="nil"/>
              <w:bottom w:val="nil"/>
              <w:right w:val="nil"/>
            </w:tcBorders>
          </w:tcPr>
          <w:p w:rsidR="00FF4693" w:rsidRDefault="00FF4693">
            <w:pPr>
              <w:jc w:val="right"/>
              <w:rPr>
                <w:rFonts w:ascii="Arial" w:hAnsi="Arial"/>
                <w:sz w:val="20"/>
              </w:rPr>
            </w:pPr>
          </w:p>
        </w:tc>
        <w:tc>
          <w:tcPr>
            <w:tcW w:w="1623" w:type="dxa"/>
            <w:tcBorders>
              <w:top w:val="nil"/>
              <w:left w:val="nil"/>
              <w:bottom w:val="nil"/>
              <w:right w:val="nil"/>
            </w:tcBorders>
          </w:tcPr>
          <w:p w:rsidR="00FF4693" w:rsidRDefault="00FF4693">
            <w:pPr>
              <w:jc w:val="right"/>
              <w:rPr>
                <w:rFonts w:ascii="Arial" w:hAnsi="Arial"/>
                <w:b/>
                <w:sz w:val="20"/>
              </w:rPr>
            </w:pPr>
          </w:p>
        </w:tc>
        <w:tc>
          <w:tcPr>
            <w:tcW w:w="1379" w:type="dxa"/>
            <w:tcBorders>
              <w:top w:val="nil"/>
              <w:left w:val="nil"/>
              <w:bottom w:val="nil"/>
              <w:right w:val="nil"/>
            </w:tcBorders>
          </w:tcPr>
          <w:p w:rsidR="00FF4693" w:rsidRDefault="00FF4693">
            <w:pPr>
              <w:jc w:val="right"/>
              <w:rPr>
                <w:rFonts w:ascii="Arial" w:hAnsi="Arial"/>
                <w:sz w:val="20"/>
              </w:rPr>
            </w:pPr>
          </w:p>
        </w:tc>
        <w:tc>
          <w:tcPr>
            <w:tcW w:w="1217" w:type="dxa"/>
            <w:tcBorders>
              <w:top w:val="nil"/>
              <w:left w:val="nil"/>
              <w:bottom w:val="nil"/>
              <w:right w:val="nil"/>
            </w:tcBorders>
          </w:tcPr>
          <w:p w:rsidR="00FF4693" w:rsidRDefault="00FF4693">
            <w:pPr>
              <w:jc w:val="right"/>
              <w:rPr>
                <w:rFonts w:ascii="Arial" w:hAnsi="Arial"/>
                <w:b/>
                <w:sz w:val="20"/>
              </w:rPr>
            </w:pPr>
          </w:p>
        </w:tc>
      </w:tr>
      <w:tr w:rsidR="00FF4693">
        <w:trPr>
          <w:trHeight w:val="262"/>
        </w:trPr>
        <w:tc>
          <w:tcPr>
            <w:tcW w:w="1470" w:type="dxa"/>
            <w:tcBorders>
              <w:top w:val="nil"/>
              <w:left w:val="nil"/>
              <w:bottom w:val="nil"/>
              <w:right w:val="nil"/>
            </w:tcBorders>
          </w:tcPr>
          <w:p w:rsidR="00FF4693" w:rsidRDefault="00FF4693">
            <w:pPr>
              <w:jc w:val="center"/>
              <w:rPr>
                <w:rFonts w:ascii="Arial" w:hAnsi="Arial"/>
                <w:sz w:val="20"/>
              </w:rPr>
            </w:pPr>
            <w:r>
              <w:rPr>
                <w:rFonts w:ascii="Arial" w:hAnsi="Arial"/>
                <w:sz w:val="20"/>
              </w:rPr>
              <w:t>Application</w:t>
            </w:r>
          </w:p>
        </w:tc>
        <w:tc>
          <w:tcPr>
            <w:tcW w:w="1754" w:type="dxa"/>
            <w:tcBorders>
              <w:top w:val="nil"/>
              <w:left w:val="nil"/>
              <w:bottom w:val="nil"/>
              <w:right w:val="nil"/>
            </w:tcBorders>
          </w:tcPr>
          <w:p w:rsidR="00FF4693" w:rsidRDefault="00FF4693">
            <w:pPr>
              <w:jc w:val="center"/>
              <w:rPr>
                <w:rFonts w:ascii="Arial" w:hAnsi="Arial"/>
                <w:b/>
                <w:sz w:val="20"/>
              </w:rPr>
            </w:pPr>
            <w:r>
              <w:rPr>
                <w:rFonts w:ascii="Arial" w:hAnsi="Arial"/>
                <w:b/>
                <w:sz w:val="20"/>
              </w:rPr>
              <w:t>40</w:t>
            </w:r>
          </w:p>
        </w:tc>
        <w:tc>
          <w:tcPr>
            <w:tcW w:w="1406" w:type="dxa"/>
            <w:tcBorders>
              <w:top w:val="nil"/>
              <w:left w:val="nil"/>
              <w:bottom w:val="nil"/>
              <w:right w:val="nil"/>
            </w:tcBorders>
          </w:tcPr>
          <w:p w:rsidR="00FF4693" w:rsidRDefault="00FF4693">
            <w:pPr>
              <w:jc w:val="center"/>
              <w:rPr>
                <w:rFonts w:ascii="Arial" w:hAnsi="Arial"/>
                <w:sz w:val="20"/>
              </w:rPr>
            </w:pPr>
            <w:r>
              <w:rPr>
                <w:rFonts w:ascii="Arial" w:hAnsi="Arial"/>
                <w:sz w:val="20"/>
              </w:rPr>
              <w:t>40</w:t>
            </w:r>
          </w:p>
        </w:tc>
        <w:tc>
          <w:tcPr>
            <w:tcW w:w="1623" w:type="dxa"/>
            <w:tcBorders>
              <w:top w:val="nil"/>
              <w:left w:val="nil"/>
              <w:bottom w:val="nil"/>
              <w:right w:val="nil"/>
            </w:tcBorders>
          </w:tcPr>
          <w:p w:rsidR="00FF4693" w:rsidRDefault="00FF4693">
            <w:pPr>
              <w:jc w:val="center"/>
              <w:rPr>
                <w:rFonts w:ascii="Arial" w:hAnsi="Arial"/>
                <w:b/>
                <w:sz w:val="20"/>
              </w:rPr>
            </w:pPr>
            <w:r>
              <w:rPr>
                <w:rFonts w:ascii="Arial" w:hAnsi="Arial"/>
                <w:b/>
                <w:sz w:val="20"/>
              </w:rPr>
              <w:t>60</w:t>
            </w:r>
          </w:p>
        </w:tc>
        <w:tc>
          <w:tcPr>
            <w:tcW w:w="1379" w:type="dxa"/>
            <w:tcBorders>
              <w:top w:val="nil"/>
              <w:left w:val="nil"/>
              <w:bottom w:val="nil"/>
              <w:right w:val="nil"/>
            </w:tcBorders>
          </w:tcPr>
          <w:p w:rsidR="00FF4693" w:rsidRDefault="00FF4693">
            <w:pPr>
              <w:jc w:val="center"/>
              <w:rPr>
                <w:rFonts w:ascii="Arial" w:hAnsi="Arial"/>
                <w:sz w:val="20"/>
              </w:rPr>
            </w:pPr>
            <w:r>
              <w:rPr>
                <w:rFonts w:ascii="Arial" w:hAnsi="Arial"/>
                <w:sz w:val="20"/>
              </w:rPr>
              <w:t>40</w:t>
            </w:r>
          </w:p>
        </w:tc>
        <w:tc>
          <w:tcPr>
            <w:tcW w:w="1217" w:type="dxa"/>
            <w:tcBorders>
              <w:top w:val="nil"/>
              <w:left w:val="nil"/>
              <w:bottom w:val="nil"/>
              <w:right w:val="nil"/>
            </w:tcBorders>
          </w:tcPr>
          <w:p w:rsidR="00FF4693" w:rsidRDefault="00FF4693">
            <w:pPr>
              <w:jc w:val="center"/>
              <w:rPr>
                <w:rFonts w:ascii="Arial" w:hAnsi="Arial"/>
                <w:b/>
                <w:sz w:val="20"/>
              </w:rPr>
            </w:pPr>
            <w:r>
              <w:rPr>
                <w:rFonts w:ascii="Arial" w:hAnsi="Arial"/>
                <w:b/>
                <w:sz w:val="20"/>
              </w:rPr>
              <w:t>100</w:t>
            </w:r>
          </w:p>
        </w:tc>
      </w:tr>
      <w:tr w:rsidR="00FF4693">
        <w:trPr>
          <w:trHeight w:val="262"/>
        </w:trPr>
        <w:tc>
          <w:tcPr>
            <w:tcW w:w="1470" w:type="dxa"/>
            <w:tcBorders>
              <w:top w:val="nil"/>
              <w:left w:val="nil"/>
              <w:bottom w:val="nil"/>
              <w:right w:val="nil"/>
            </w:tcBorders>
          </w:tcPr>
          <w:p w:rsidR="00FF4693" w:rsidRDefault="00FF4693">
            <w:pPr>
              <w:jc w:val="right"/>
              <w:rPr>
                <w:rFonts w:ascii="Arial" w:hAnsi="Arial"/>
                <w:sz w:val="20"/>
              </w:rPr>
            </w:pPr>
          </w:p>
        </w:tc>
        <w:tc>
          <w:tcPr>
            <w:tcW w:w="1754" w:type="dxa"/>
            <w:tcBorders>
              <w:top w:val="nil"/>
              <w:left w:val="nil"/>
              <w:bottom w:val="nil"/>
              <w:right w:val="nil"/>
            </w:tcBorders>
          </w:tcPr>
          <w:p w:rsidR="00FF4693" w:rsidRDefault="00FF4693">
            <w:pPr>
              <w:jc w:val="right"/>
              <w:rPr>
                <w:rFonts w:ascii="Arial" w:hAnsi="Arial"/>
                <w:b/>
                <w:sz w:val="20"/>
              </w:rPr>
            </w:pPr>
          </w:p>
        </w:tc>
        <w:tc>
          <w:tcPr>
            <w:tcW w:w="1406" w:type="dxa"/>
            <w:tcBorders>
              <w:top w:val="nil"/>
              <w:left w:val="nil"/>
              <w:bottom w:val="nil"/>
              <w:right w:val="nil"/>
            </w:tcBorders>
          </w:tcPr>
          <w:p w:rsidR="00FF4693" w:rsidRDefault="00FF4693">
            <w:pPr>
              <w:jc w:val="right"/>
              <w:rPr>
                <w:rFonts w:ascii="Arial" w:hAnsi="Arial"/>
                <w:sz w:val="20"/>
              </w:rPr>
            </w:pPr>
          </w:p>
        </w:tc>
        <w:tc>
          <w:tcPr>
            <w:tcW w:w="1623" w:type="dxa"/>
            <w:tcBorders>
              <w:top w:val="nil"/>
              <w:left w:val="nil"/>
              <w:bottom w:val="nil"/>
              <w:right w:val="nil"/>
            </w:tcBorders>
          </w:tcPr>
          <w:p w:rsidR="00FF4693" w:rsidRDefault="00FF4693">
            <w:pPr>
              <w:jc w:val="right"/>
              <w:rPr>
                <w:rFonts w:ascii="Arial" w:hAnsi="Arial"/>
                <w:b/>
                <w:sz w:val="20"/>
              </w:rPr>
            </w:pPr>
          </w:p>
        </w:tc>
        <w:tc>
          <w:tcPr>
            <w:tcW w:w="1379" w:type="dxa"/>
            <w:tcBorders>
              <w:top w:val="nil"/>
              <w:left w:val="nil"/>
              <w:bottom w:val="nil"/>
              <w:right w:val="nil"/>
            </w:tcBorders>
          </w:tcPr>
          <w:p w:rsidR="00FF4693" w:rsidRDefault="00FF4693">
            <w:pPr>
              <w:jc w:val="right"/>
              <w:rPr>
                <w:rFonts w:ascii="Arial" w:hAnsi="Arial"/>
                <w:sz w:val="20"/>
              </w:rPr>
            </w:pPr>
          </w:p>
        </w:tc>
        <w:tc>
          <w:tcPr>
            <w:tcW w:w="1217" w:type="dxa"/>
            <w:tcBorders>
              <w:top w:val="nil"/>
              <w:left w:val="nil"/>
              <w:bottom w:val="nil"/>
              <w:right w:val="nil"/>
            </w:tcBorders>
          </w:tcPr>
          <w:p w:rsidR="00FF4693" w:rsidRDefault="00FF4693">
            <w:pPr>
              <w:jc w:val="right"/>
              <w:rPr>
                <w:rFonts w:ascii="Arial" w:hAnsi="Arial"/>
                <w:b/>
                <w:sz w:val="20"/>
              </w:rPr>
            </w:pPr>
          </w:p>
        </w:tc>
      </w:tr>
      <w:tr w:rsidR="00FF4693">
        <w:trPr>
          <w:trHeight w:val="262"/>
        </w:trPr>
        <w:tc>
          <w:tcPr>
            <w:tcW w:w="1470" w:type="dxa"/>
            <w:tcBorders>
              <w:top w:val="nil"/>
              <w:left w:val="nil"/>
              <w:bottom w:val="nil"/>
              <w:right w:val="nil"/>
            </w:tcBorders>
          </w:tcPr>
          <w:p w:rsidR="00FF4693" w:rsidRDefault="00FF4693">
            <w:pPr>
              <w:rPr>
                <w:rFonts w:ascii="Arial" w:hAnsi="Arial"/>
                <w:sz w:val="20"/>
              </w:rPr>
            </w:pPr>
            <w:r>
              <w:rPr>
                <w:rFonts w:ascii="Arial" w:hAnsi="Arial"/>
                <w:sz w:val="20"/>
              </w:rPr>
              <w:t>Amendment</w:t>
            </w:r>
          </w:p>
        </w:tc>
        <w:tc>
          <w:tcPr>
            <w:tcW w:w="1754" w:type="dxa"/>
            <w:tcBorders>
              <w:top w:val="nil"/>
              <w:left w:val="nil"/>
              <w:bottom w:val="nil"/>
              <w:right w:val="nil"/>
            </w:tcBorders>
          </w:tcPr>
          <w:p w:rsidR="00FF4693" w:rsidRDefault="00FF4693">
            <w:pPr>
              <w:jc w:val="center"/>
              <w:rPr>
                <w:rFonts w:ascii="Arial" w:hAnsi="Arial"/>
                <w:b/>
                <w:sz w:val="20"/>
              </w:rPr>
            </w:pPr>
            <w:r>
              <w:rPr>
                <w:rFonts w:ascii="Arial" w:hAnsi="Arial"/>
                <w:b/>
                <w:sz w:val="20"/>
              </w:rPr>
              <w:t>30</w:t>
            </w:r>
          </w:p>
        </w:tc>
        <w:tc>
          <w:tcPr>
            <w:tcW w:w="1406" w:type="dxa"/>
            <w:tcBorders>
              <w:top w:val="nil"/>
              <w:left w:val="nil"/>
              <w:bottom w:val="nil"/>
              <w:right w:val="nil"/>
            </w:tcBorders>
          </w:tcPr>
          <w:p w:rsidR="00FF4693" w:rsidRDefault="00FF4693">
            <w:pPr>
              <w:jc w:val="center"/>
              <w:rPr>
                <w:rFonts w:ascii="Arial" w:hAnsi="Arial"/>
                <w:sz w:val="20"/>
              </w:rPr>
            </w:pPr>
            <w:r>
              <w:rPr>
                <w:rFonts w:ascii="Arial" w:hAnsi="Arial"/>
                <w:sz w:val="20"/>
              </w:rPr>
              <w:t>30</w:t>
            </w:r>
          </w:p>
        </w:tc>
        <w:tc>
          <w:tcPr>
            <w:tcW w:w="1623" w:type="dxa"/>
            <w:tcBorders>
              <w:top w:val="nil"/>
              <w:left w:val="nil"/>
              <w:bottom w:val="nil"/>
              <w:right w:val="nil"/>
            </w:tcBorders>
          </w:tcPr>
          <w:p w:rsidR="00FF4693" w:rsidRDefault="00FF4693">
            <w:pPr>
              <w:jc w:val="center"/>
              <w:rPr>
                <w:rFonts w:ascii="Arial" w:hAnsi="Arial"/>
                <w:b/>
                <w:sz w:val="20"/>
              </w:rPr>
            </w:pPr>
            <w:r>
              <w:rPr>
                <w:rFonts w:ascii="Arial" w:hAnsi="Arial"/>
                <w:b/>
                <w:sz w:val="20"/>
              </w:rPr>
              <w:t>30</w:t>
            </w:r>
          </w:p>
        </w:tc>
        <w:tc>
          <w:tcPr>
            <w:tcW w:w="1379" w:type="dxa"/>
            <w:tcBorders>
              <w:top w:val="nil"/>
              <w:left w:val="nil"/>
              <w:bottom w:val="nil"/>
              <w:right w:val="nil"/>
            </w:tcBorders>
          </w:tcPr>
          <w:p w:rsidR="00FF4693" w:rsidRDefault="00FF4693">
            <w:pPr>
              <w:jc w:val="center"/>
              <w:rPr>
                <w:rFonts w:ascii="Arial" w:hAnsi="Arial"/>
                <w:sz w:val="20"/>
              </w:rPr>
            </w:pPr>
            <w:r>
              <w:rPr>
                <w:rFonts w:ascii="Arial" w:hAnsi="Arial"/>
                <w:sz w:val="20"/>
              </w:rPr>
              <w:t>30</w:t>
            </w:r>
          </w:p>
        </w:tc>
        <w:tc>
          <w:tcPr>
            <w:tcW w:w="1217" w:type="dxa"/>
            <w:tcBorders>
              <w:top w:val="nil"/>
              <w:left w:val="nil"/>
              <w:bottom w:val="nil"/>
              <w:right w:val="nil"/>
            </w:tcBorders>
          </w:tcPr>
          <w:p w:rsidR="00FF4693" w:rsidRDefault="00FF4693">
            <w:pPr>
              <w:jc w:val="center"/>
              <w:rPr>
                <w:rFonts w:ascii="Arial" w:hAnsi="Arial"/>
                <w:b/>
                <w:sz w:val="20"/>
              </w:rPr>
            </w:pPr>
            <w:r>
              <w:rPr>
                <w:rFonts w:ascii="Arial" w:hAnsi="Arial"/>
                <w:b/>
                <w:sz w:val="20"/>
              </w:rPr>
              <w:t>60</w:t>
            </w:r>
          </w:p>
        </w:tc>
      </w:tr>
    </w:tbl>
    <w:p w:rsidR="00FF4693" w:rsidRDefault="00FF4693">
      <w:pPr>
        <w:rPr>
          <w:sz w:val="20"/>
        </w:rPr>
      </w:pPr>
    </w:p>
    <w:p w:rsidR="00FF4693" w:rsidRDefault="00FF4693">
      <w:pPr>
        <w:rPr>
          <w:sz w:val="20"/>
        </w:rPr>
      </w:pPr>
    </w:p>
    <w:p w:rsidR="00FF4693" w:rsidRDefault="00FF4693" w:rsidP="00397C76">
      <w:pPr>
        <w:numPr>
          <w:ilvl w:val="0"/>
          <w:numId w:val="14"/>
        </w:numPr>
      </w:pPr>
      <w:r>
        <w:rPr>
          <w:b/>
        </w:rPr>
        <w:t>Administrative completeness review</w:t>
      </w:r>
      <w:r>
        <w:rPr>
          <w:b/>
          <w:sz w:val="32"/>
        </w:rPr>
        <w:t>.</w:t>
      </w:r>
    </w:p>
    <w:p w:rsidR="00FF4693" w:rsidRDefault="00FF4693"/>
    <w:p w:rsidR="00FF4693" w:rsidRDefault="00FF4693" w:rsidP="00397C76">
      <w:pPr>
        <w:numPr>
          <w:ilvl w:val="0"/>
          <w:numId w:val="15"/>
        </w:numPr>
        <w:jc w:val="both"/>
      </w:pPr>
      <w:r>
        <w:t>The administrative completeness review time-frame begins the date the Department receives the application.  The Department shall notify the applicant in writing of deficiencies within the administrative completeness review time-frame.  The notice shall specify what information is missing.  If the Department does not provide notice to the applicant, the application shall be deemed administratively complete.</w:t>
      </w:r>
    </w:p>
    <w:p w:rsidR="00FF4693" w:rsidRDefault="00FF4693" w:rsidP="00397C76">
      <w:pPr>
        <w:numPr>
          <w:ilvl w:val="0"/>
          <w:numId w:val="15"/>
        </w:numPr>
        <w:jc w:val="both"/>
      </w:pPr>
      <w:r>
        <w:t>An applicant with an incomplete application shall supply the missing information within the completion period shown in the above table.  The administrative completeness review time-frame is suspended from the date of the Department’s deficiency notice until the Department receives the information.</w:t>
      </w:r>
    </w:p>
    <w:p w:rsidR="00FF4693" w:rsidRDefault="00FF4693" w:rsidP="00397C76">
      <w:pPr>
        <w:numPr>
          <w:ilvl w:val="0"/>
          <w:numId w:val="15"/>
        </w:numPr>
        <w:jc w:val="both"/>
      </w:pPr>
      <w:r>
        <w:t xml:space="preserve">An applicant shall not supply missing information “piece-meal”.  The receipt of any missing information will be interpreted as the applicant’s response to the Department’s deficiency notice and the Department will resume processing the application. </w:t>
      </w:r>
    </w:p>
    <w:p w:rsidR="00FF4693" w:rsidRDefault="00FF4693" w:rsidP="00397C76">
      <w:pPr>
        <w:numPr>
          <w:ilvl w:val="0"/>
          <w:numId w:val="15"/>
        </w:numPr>
        <w:jc w:val="both"/>
      </w:pPr>
      <w:r>
        <w:t>If the applicant fails to submit all of the missing information before the completion deadline, the Department will close the file.  An applicant whose file has been closed and who later wishes to obtain a certificate of authority shall submit a new application.</w:t>
      </w:r>
    </w:p>
    <w:p w:rsidR="00FF4693" w:rsidRDefault="00FF4693"/>
    <w:p w:rsidR="00FF4693" w:rsidRDefault="00FF4693"/>
    <w:p w:rsidR="00FF4693" w:rsidRDefault="00FF4693" w:rsidP="00397C76">
      <w:pPr>
        <w:numPr>
          <w:ilvl w:val="0"/>
          <w:numId w:val="16"/>
        </w:numPr>
      </w:pPr>
      <w:r>
        <w:rPr>
          <w:b/>
        </w:rPr>
        <w:t>Substantive review</w:t>
      </w:r>
      <w:r>
        <w:rPr>
          <w:b/>
          <w:sz w:val="32"/>
        </w:rPr>
        <w:t>.</w:t>
      </w:r>
      <w:r>
        <w:t xml:space="preserve">  The substantive review time-frames shown in the above table begin the day after the application is deemed administratively complete.</w:t>
      </w:r>
    </w:p>
    <w:p w:rsidR="00FF4693" w:rsidRDefault="00FF4693"/>
    <w:p w:rsidR="00FF4693" w:rsidRDefault="00FF4693" w:rsidP="00397C76">
      <w:pPr>
        <w:numPr>
          <w:ilvl w:val="0"/>
          <w:numId w:val="17"/>
        </w:numPr>
        <w:jc w:val="both"/>
      </w:pPr>
      <w:r>
        <w:t>The Department may schedule an inspection.</w:t>
      </w:r>
    </w:p>
    <w:p w:rsidR="00FF4693" w:rsidRDefault="00FF4693" w:rsidP="00397C76">
      <w:pPr>
        <w:numPr>
          <w:ilvl w:val="0"/>
          <w:numId w:val="17"/>
        </w:numPr>
        <w:jc w:val="both"/>
      </w:pPr>
      <w:r>
        <w:t>If the Department makes a comprehensive written request for additional information, the applicant shall submit the additional information identified by the request within the additional time period shown in the above table.  The substantive review time-frame is suspended from the date of the Department’s request until the information is received by the Department.  If the applicant fails to provide the information identified in the request, the Department shall deem the application withdrawn and close the file.</w:t>
      </w:r>
    </w:p>
    <w:p w:rsidR="00FF4693" w:rsidRDefault="00FF4693" w:rsidP="00397C76">
      <w:pPr>
        <w:numPr>
          <w:ilvl w:val="0"/>
          <w:numId w:val="17"/>
        </w:numPr>
        <w:jc w:val="both"/>
      </w:pPr>
      <w:r>
        <w:t xml:space="preserve">An applicant shall not supply the requested additional information “piece-meal”.  The receipt of any requested information will be interpreted as the applicant’s response to the </w:t>
      </w:r>
      <w:r>
        <w:lastRenderedPageBreak/>
        <w:t>Department’s request for additional information and the Department will resume processing the application.</w:t>
      </w:r>
    </w:p>
    <w:p w:rsidR="00FF4693" w:rsidRDefault="00FF4693" w:rsidP="00397C76">
      <w:pPr>
        <w:numPr>
          <w:ilvl w:val="0"/>
          <w:numId w:val="17"/>
        </w:numPr>
        <w:jc w:val="both"/>
      </w:pPr>
      <w:r>
        <w:t>Unless the file has been closed because the application was incomplete, the Department shall issue a written notice granting or denying the certificate of authority within the substantive review time-frame.  If the application is denied, the Department shall send the applicant written notice explaining the reason for the denial, the applicant’s right to seek a fair hearing and the time period and manner in which the applicant may appeal the denial.</w:t>
      </w:r>
    </w:p>
    <w:p w:rsidR="00FF4693" w:rsidRDefault="00FF4693"/>
    <w:p w:rsidR="00FF4693" w:rsidRDefault="00FF4693"/>
    <w:p w:rsidR="00FF4693" w:rsidRDefault="00FF4693" w:rsidP="00397C76">
      <w:pPr>
        <w:numPr>
          <w:ilvl w:val="0"/>
          <w:numId w:val="18"/>
        </w:numPr>
      </w:pPr>
      <w:r>
        <w:rPr>
          <w:b/>
        </w:rPr>
        <w:t>Application filing.</w:t>
      </w:r>
      <w:r>
        <w:t xml:space="preserve">  All applications for certificate of authority filed with the Department shall be considered filed on the date received by the Department.</w:t>
      </w:r>
    </w:p>
    <w:p w:rsidR="00FF4693" w:rsidRDefault="00FF4693"/>
    <w:p w:rsidR="00FF4693" w:rsidRDefault="00FF4693" w:rsidP="00397C76">
      <w:pPr>
        <w:numPr>
          <w:ilvl w:val="0"/>
          <w:numId w:val="19"/>
        </w:numPr>
        <w:jc w:val="both"/>
      </w:pPr>
      <w:r>
        <w:rPr>
          <w:b/>
        </w:rPr>
        <w:t>Computation of time</w:t>
      </w:r>
      <w:r>
        <w:rPr>
          <w:b/>
          <w:sz w:val="32"/>
        </w:rPr>
        <w:t>.</w:t>
      </w:r>
      <w:r>
        <w:t xml:space="preserve">  In computing any period of time, the day of the act from which the designated period of time begins to run shall not be included.  The last day of the period shall be included unless it is Saturday, Sunday or a legal holiday in which event the period runs until the end of the next day which is neither Saturday, Sunday nor a legal holiday.</w:t>
      </w:r>
    </w:p>
    <w:p w:rsidR="00FF4693" w:rsidRDefault="00FF4693">
      <w:pPr>
        <w:jc w:val="center"/>
        <w:rPr>
          <w:b/>
          <w:sz w:val="28"/>
        </w:rPr>
      </w:pPr>
      <w:r>
        <w:br w:type="page"/>
      </w:r>
      <w:r>
        <w:rPr>
          <w:b/>
          <w:sz w:val="28"/>
        </w:rPr>
        <w:lastRenderedPageBreak/>
        <w:t>ARIZONA</w:t>
      </w:r>
    </w:p>
    <w:p w:rsidR="00FF4693" w:rsidRDefault="00FF4693">
      <w:pPr>
        <w:jc w:val="center"/>
        <w:rPr>
          <w:b/>
          <w:sz w:val="28"/>
        </w:rPr>
      </w:pPr>
      <w:r>
        <w:rPr>
          <w:b/>
          <w:sz w:val="28"/>
        </w:rPr>
        <w:t xml:space="preserve"> DEPARTMENT</w:t>
      </w:r>
    </w:p>
    <w:p w:rsidR="00FF4693" w:rsidRDefault="00FF4693">
      <w:pPr>
        <w:jc w:val="center"/>
        <w:rPr>
          <w:b/>
          <w:sz w:val="28"/>
        </w:rPr>
      </w:pPr>
      <w:r>
        <w:rPr>
          <w:b/>
          <w:sz w:val="28"/>
        </w:rPr>
        <w:t xml:space="preserve"> OF REAL ESTATE</w:t>
      </w:r>
    </w:p>
    <w:p w:rsidR="00FF4693" w:rsidRDefault="00FF4693">
      <w:pPr>
        <w:jc w:val="center"/>
        <w:rPr>
          <w:b/>
          <w:sz w:val="28"/>
        </w:rPr>
      </w:pPr>
    </w:p>
    <w:p w:rsidR="00FF4693" w:rsidRDefault="00FF4693">
      <w:pPr>
        <w:jc w:val="center"/>
        <w:rPr>
          <w:b/>
          <w:sz w:val="28"/>
        </w:rPr>
      </w:pPr>
      <w:r>
        <w:rPr>
          <w:b/>
          <w:sz w:val="28"/>
        </w:rPr>
        <w:t xml:space="preserve">APPLICATION FOR AMENDED </w:t>
      </w:r>
    </w:p>
    <w:p w:rsidR="00FF4693" w:rsidRDefault="00FF4693">
      <w:pPr>
        <w:jc w:val="center"/>
        <w:rPr>
          <w:b/>
          <w:sz w:val="28"/>
        </w:rPr>
      </w:pPr>
      <w:r>
        <w:rPr>
          <w:b/>
          <w:sz w:val="28"/>
        </w:rPr>
        <w:t xml:space="preserve">CERTIFICATE OF AUTHORITY </w:t>
      </w:r>
    </w:p>
    <w:p w:rsidR="00FF4693" w:rsidRDefault="00FF4693">
      <w:pPr>
        <w:rPr>
          <w:b/>
          <w:sz w:val="20"/>
        </w:rPr>
      </w:pPr>
    </w:p>
    <w:p w:rsidR="00FF4693" w:rsidRDefault="00FF4693">
      <w:pPr>
        <w:rPr>
          <w:b/>
          <w:sz w:val="20"/>
        </w:rPr>
      </w:pPr>
    </w:p>
    <w:p w:rsidR="00FF4693" w:rsidRDefault="00FF4693">
      <w:pPr>
        <w:rPr>
          <w:b/>
          <w:sz w:val="20"/>
        </w:rPr>
      </w:pPr>
      <w:r>
        <w:rPr>
          <w:b/>
          <w:sz w:val="20"/>
        </w:rPr>
        <w:t>_______________________________________________________  -  _____________________________________</w:t>
      </w:r>
    </w:p>
    <w:p w:rsidR="00FF4693" w:rsidRDefault="00FF4693">
      <w:pPr>
        <w:rPr>
          <w:i/>
          <w:sz w:val="18"/>
        </w:rPr>
      </w:pPr>
      <w:r>
        <w:rPr>
          <w:b/>
          <w:sz w:val="20"/>
        </w:rPr>
        <w:t xml:space="preserve">                            </w:t>
      </w:r>
      <w:r>
        <w:rPr>
          <w:i/>
          <w:sz w:val="18"/>
        </w:rPr>
        <w:t>(Cemetery Name)</w:t>
      </w:r>
      <w:r>
        <w:rPr>
          <w:i/>
          <w:sz w:val="18"/>
        </w:rPr>
        <w:tab/>
      </w:r>
      <w:r>
        <w:rPr>
          <w:i/>
          <w:sz w:val="18"/>
        </w:rPr>
        <w:tab/>
      </w:r>
      <w:r>
        <w:rPr>
          <w:i/>
          <w:sz w:val="18"/>
        </w:rPr>
        <w:tab/>
      </w:r>
      <w:r>
        <w:rPr>
          <w:i/>
          <w:sz w:val="18"/>
        </w:rPr>
        <w:tab/>
      </w:r>
      <w:r>
        <w:rPr>
          <w:i/>
          <w:sz w:val="18"/>
        </w:rPr>
        <w:tab/>
        <w:t>(Department Representative)</w:t>
      </w:r>
    </w:p>
    <w:p w:rsidR="00FF4693" w:rsidRDefault="00FF4693"/>
    <w:p w:rsidR="00FF4693" w:rsidRDefault="00FF4693">
      <w:pPr>
        <w:jc w:val="both"/>
      </w:pPr>
      <w:r>
        <w:t>__________________________________________________________________ hereby provides</w:t>
      </w:r>
    </w:p>
    <w:p w:rsidR="00FF4693" w:rsidRDefault="00FF4693">
      <w:pPr>
        <w:jc w:val="both"/>
        <w:rPr>
          <w:i/>
        </w:rPr>
      </w:pPr>
      <w:r>
        <w:tab/>
      </w:r>
      <w:r>
        <w:tab/>
      </w:r>
      <w:r>
        <w:rPr>
          <w:i/>
        </w:rPr>
        <w:t>(Owner - Applicant)</w:t>
      </w:r>
    </w:p>
    <w:p w:rsidR="00776D2F" w:rsidRDefault="00FF4693">
      <w:pPr>
        <w:pStyle w:val="BodyText"/>
      </w:pPr>
      <w:r>
        <w:rPr>
          <w:sz w:val="24"/>
        </w:rPr>
        <w:t>notice of the following changes to our cemetery and sales offering or information previously provided the Arizona Department of Real Estate under Registration No.</w:t>
      </w:r>
      <w:r w:rsidR="00776D2F" w:rsidRPr="00776D2F">
        <w:t xml:space="preserve"> </w:t>
      </w:r>
      <w:r w:rsidR="00776D2F">
        <w:fldChar w:fldCharType="begin">
          <w:ffData>
            <w:name w:val="Text240"/>
            <w:enabled/>
            <w:calcOnExit w:val="0"/>
            <w:textInput/>
          </w:ffData>
        </w:fldChar>
      </w:r>
      <w:r w:rsidR="00776D2F">
        <w:instrText xml:space="preserve"> FORMTEXT </w:instrText>
      </w:r>
      <w:r w:rsidR="00776D2F">
        <w:fldChar w:fldCharType="separate"/>
      </w:r>
      <w:r w:rsidR="00776D2F">
        <w:rPr>
          <w:noProof/>
        </w:rPr>
        <w:t> </w:t>
      </w:r>
      <w:r w:rsidR="00776D2F">
        <w:rPr>
          <w:noProof/>
        </w:rPr>
        <w:t> </w:t>
      </w:r>
      <w:r w:rsidR="00776D2F">
        <w:rPr>
          <w:noProof/>
        </w:rPr>
        <w:t> </w:t>
      </w:r>
      <w:r w:rsidR="00776D2F">
        <w:rPr>
          <w:noProof/>
        </w:rPr>
        <w:t> </w:t>
      </w:r>
      <w:r w:rsidR="00776D2F">
        <w:rPr>
          <w:noProof/>
        </w:rPr>
        <w:t> </w:t>
      </w:r>
      <w:r w:rsidR="00776D2F">
        <w:fldChar w:fldCharType="end"/>
      </w:r>
    </w:p>
    <w:p w:rsidR="00FF4693" w:rsidRDefault="00FF4693">
      <w:pPr>
        <w:jc w:val="both"/>
      </w:pPr>
      <w:r>
        <w:t>(Use separate sheet if necessary):</w:t>
      </w:r>
    </w:p>
    <w:p w:rsidR="00FF4693" w:rsidRDefault="00776D2F">
      <w:pPr>
        <w:jc w:val="both"/>
      </w:pPr>
      <w:r>
        <w:fldChar w:fldCharType="begin">
          <w:ffData>
            <w:name w:val="Check8"/>
            <w:enabled/>
            <w:calcOnExit w:val="0"/>
            <w:checkBox>
              <w:sizeAuto/>
              <w:default w:val="0"/>
            </w:checkBox>
          </w:ffData>
        </w:fldChar>
      </w:r>
      <w:bookmarkStart w:id="1" w:name="Check8"/>
      <w:r>
        <w:instrText xml:space="preserve"> FORMCHECKBOX </w:instrText>
      </w:r>
      <w:r w:rsidR="004971B1">
        <w:fldChar w:fldCharType="separate"/>
      </w:r>
      <w:r>
        <w:fldChar w:fldCharType="end"/>
      </w:r>
      <w:bookmarkEnd w:id="1"/>
      <w:r w:rsidR="00FF4693">
        <w:t xml:space="preserve"> This application is for </w:t>
      </w:r>
      <w:r w:rsidR="00FF4693">
        <w:rPr>
          <w:b/>
        </w:rPr>
        <w:t>a material change</w:t>
      </w:r>
      <w:r w:rsidR="00FF4693">
        <w:t xml:space="preserve"> to an existing cemetery section where sales have been made according to the certificate of authority previously issued by the Department.  </w:t>
      </w:r>
    </w:p>
    <w:p w:rsidR="00FF4693" w:rsidRDefault="00776D2F">
      <w:pPr>
        <w:ind w:left="720"/>
        <w:jc w:val="both"/>
      </w:pPr>
      <w:r>
        <w:fldChar w:fldCharType="begin">
          <w:ffData>
            <w:name w:val="Check8"/>
            <w:enabled/>
            <w:calcOnExit w:val="0"/>
            <w:checkBox>
              <w:sizeAuto/>
              <w:default w:val="0"/>
            </w:checkBox>
          </w:ffData>
        </w:fldChar>
      </w:r>
      <w:r>
        <w:instrText xml:space="preserve"> FORMCHECKBOX </w:instrText>
      </w:r>
      <w:r w:rsidR="004971B1">
        <w:fldChar w:fldCharType="separate"/>
      </w:r>
      <w:r>
        <w:fldChar w:fldCharType="end"/>
      </w:r>
      <w:r w:rsidR="00FF4693">
        <w:t xml:space="preserve"> The Applicant/Owner agrees to suspend sales in the area of the cemetery being changed until the application is approved.</w:t>
      </w:r>
    </w:p>
    <w:p w:rsidR="00FF4693" w:rsidRDefault="00776D2F">
      <w:pPr>
        <w:ind w:left="720"/>
        <w:jc w:val="both"/>
      </w:pPr>
      <w:r>
        <w:fldChar w:fldCharType="begin">
          <w:ffData>
            <w:name w:val="Check8"/>
            <w:enabled/>
            <w:calcOnExit w:val="0"/>
            <w:checkBox>
              <w:sizeAuto/>
              <w:default w:val="0"/>
            </w:checkBox>
          </w:ffData>
        </w:fldChar>
      </w:r>
      <w:r>
        <w:instrText xml:space="preserve"> FORMCHECKBOX </w:instrText>
      </w:r>
      <w:r w:rsidR="004971B1">
        <w:fldChar w:fldCharType="separate"/>
      </w:r>
      <w:r>
        <w:fldChar w:fldCharType="end"/>
      </w:r>
      <w:r w:rsidR="00FF4693">
        <w:t xml:space="preserve"> The Applicant/Owner requests permission to continue sales in the area of the cemetery being changed.  Attached are stipulations to protect the interests of property owners in the cemetery.</w:t>
      </w:r>
    </w:p>
    <w:p w:rsidR="00FF4693" w:rsidRDefault="00776D2F">
      <w:pPr>
        <w:jc w:val="both"/>
      </w:pPr>
      <w:r>
        <w:fldChar w:fldCharType="begin">
          <w:ffData>
            <w:name w:val="Check8"/>
            <w:enabled/>
            <w:calcOnExit w:val="0"/>
            <w:checkBox>
              <w:sizeAuto/>
              <w:default w:val="0"/>
            </w:checkBox>
          </w:ffData>
        </w:fldChar>
      </w:r>
      <w:r>
        <w:instrText xml:space="preserve"> FORMCHECKBOX </w:instrText>
      </w:r>
      <w:r w:rsidR="004971B1">
        <w:fldChar w:fldCharType="separate"/>
      </w:r>
      <w:r>
        <w:fldChar w:fldCharType="end"/>
      </w:r>
      <w:r w:rsidR="00FF4693">
        <w:t xml:space="preserve"> This application is for a modification or addition to an existing cemetery section </w:t>
      </w:r>
      <w:r w:rsidR="00FF4693">
        <w:rPr>
          <w:b/>
        </w:rPr>
        <w:t>without a material change</w:t>
      </w:r>
      <w:r w:rsidR="00FF4693">
        <w:t xml:space="preserve"> to an existing cemetery section.</w:t>
      </w:r>
    </w:p>
    <w:p w:rsidR="00FF4693" w:rsidRDefault="00FF4693">
      <w:pPr>
        <w:jc w:val="both"/>
      </w:pPr>
    </w:p>
    <w:p w:rsidR="00FF4693" w:rsidRDefault="00FF4693">
      <w:pPr>
        <w:jc w:val="both"/>
      </w:pPr>
      <w:r>
        <w:t xml:space="preserve">The undersigned, </w:t>
      </w:r>
      <w:r w:rsidR="00776D2F">
        <w:fldChar w:fldCharType="begin">
          <w:ffData>
            <w:name w:val="Text240"/>
            <w:enabled/>
            <w:calcOnExit w:val="0"/>
            <w:textInput/>
          </w:ffData>
        </w:fldChar>
      </w:r>
      <w:r w:rsidR="00776D2F">
        <w:instrText xml:space="preserve"> FORMTEXT </w:instrText>
      </w:r>
      <w:r w:rsidR="00776D2F">
        <w:fldChar w:fldCharType="separate"/>
      </w:r>
      <w:r w:rsidR="00776D2F">
        <w:rPr>
          <w:noProof/>
        </w:rPr>
        <w:t> </w:t>
      </w:r>
      <w:r w:rsidR="00776D2F">
        <w:rPr>
          <w:noProof/>
        </w:rPr>
        <w:t> </w:t>
      </w:r>
      <w:r w:rsidR="00776D2F">
        <w:rPr>
          <w:noProof/>
        </w:rPr>
        <w:t> </w:t>
      </w:r>
      <w:r w:rsidR="00776D2F">
        <w:rPr>
          <w:noProof/>
        </w:rPr>
        <w:t> </w:t>
      </w:r>
      <w:r w:rsidR="00776D2F">
        <w:rPr>
          <w:noProof/>
        </w:rPr>
        <w:t> </w:t>
      </w:r>
      <w:r w:rsidR="00776D2F">
        <w:fldChar w:fldCharType="end"/>
      </w:r>
      <w:r>
        <w:t>, being duly sworn deposes and says:</w:t>
      </w:r>
    </w:p>
    <w:p w:rsidR="00FF4693" w:rsidRDefault="00FF4693">
      <w:pPr>
        <w:jc w:val="both"/>
      </w:pPr>
    </w:p>
    <w:p w:rsidR="00FF4693" w:rsidRDefault="00FF4693" w:rsidP="00397C76">
      <w:pPr>
        <w:numPr>
          <w:ilvl w:val="0"/>
          <w:numId w:val="20"/>
        </w:numPr>
        <w:jc w:val="both"/>
      </w:pPr>
      <w:r>
        <w:t>I have the legal authority to execute and provide this notice on behalf of the above named Owner/Applicant;</w:t>
      </w:r>
    </w:p>
    <w:p w:rsidR="00FF4693" w:rsidRDefault="00FF4693" w:rsidP="00397C76">
      <w:pPr>
        <w:numPr>
          <w:ilvl w:val="0"/>
          <w:numId w:val="20"/>
        </w:numPr>
        <w:jc w:val="both"/>
      </w:pPr>
      <w:r>
        <w:t>The statements herein contained, and the documents submitted herewith, are full, true and complete; and</w:t>
      </w:r>
    </w:p>
    <w:p w:rsidR="00FF4693" w:rsidRDefault="00FF4693" w:rsidP="00397C76">
      <w:pPr>
        <w:numPr>
          <w:ilvl w:val="0"/>
          <w:numId w:val="20"/>
        </w:numPr>
        <w:jc w:val="both"/>
      </w:pPr>
      <w:r>
        <w:t>There are no changes to our cemetery; our sales offering or information previously provided the Department, other than as listed above.</w:t>
      </w:r>
    </w:p>
    <w:p w:rsidR="00FF4693" w:rsidRDefault="00FF4693">
      <w:pPr>
        <w:jc w:val="both"/>
      </w:pPr>
    </w:p>
    <w:p w:rsidR="00FF4693" w:rsidRDefault="00FF4693">
      <w:pPr>
        <w:jc w:val="both"/>
      </w:pPr>
      <w:r>
        <w:t>State of _______________________)</w:t>
      </w:r>
      <w:r>
        <w:tab/>
      </w:r>
      <w:r>
        <w:tab/>
      </w:r>
      <w:r>
        <w:tab/>
        <w:t>__________________________</w:t>
      </w:r>
    </w:p>
    <w:p w:rsidR="00FF4693" w:rsidRDefault="00FF4693">
      <w:pPr>
        <w:jc w:val="both"/>
      </w:pPr>
      <w:r>
        <w:tab/>
      </w:r>
      <w:r>
        <w:tab/>
      </w:r>
      <w:r>
        <w:tab/>
      </w:r>
      <w:r>
        <w:tab/>
        <w:t xml:space="preserve">           )ss.</w:t>
      </w:r>
    </w:p>
    <w:p w:rsidR="00FF4693" w:rsidRDefault="00FF4693">
      <w:pPr>
        <w:jc w:val="both"/>
      </w:pPr>
      <w:r>
        <w:t>County of _____________________)</w:t>
      </w:r>
      <w:r>
        <w:tab/>
      </w:r>
      <w:r>
        <w:tab/>
      </w:r>
      <w:r>
        <w:tab/>
        <w:t xml:space="preserve">__________________________ </w:t>
      </w:r>
    </w:p>
    <w:p w:rsidR="00FF4693" w:rsidRDefault="00FF4693">
      <w:pPr>
        <w:jc w:val="both"/>
      </w:pPr>
    </w:p>
    <w:p w:rsidR="00FF4693" w:rsidRDefault="00FF4693">
      <w:pPr>
        <w:jc w:val="both"/>
      </w:pPr>
      <w:r>
        <w:t>This instrument subscribed to and sworn before me</w:t>
      </w:r>
    </w:p>
    <w:p w:rsidR="00FF4693" w:rsidRDefault="00FF4693">
      <w:pPr>
        <w:jc w:val="both"/>
      </w:pPr>
      <w:r>
        <w:t>this ____________day of______________,20___by</w:t>
      </w:r>
    </w:p>
    <w:p w:rsidR="00FF4693" w:rsidRDefault="00FF4693">
      <w:pPr>
        <w:jc w:val="both"/>
      </w:pPr>
    </w:p>
    <w:p w:rsidR="00FF4693" w:rsidRDefault="00FF4693">
      <w:pPr>
        <w:jc w:val="both"/>
      </w:pPr>
      <w:r>
        <w:t>___________________________________, in witness</w:t>
      </w:r>
    </w:p>
    <w:p w:rsidR="00FF4693" w:rsidRDefault="00FF4693">
      <w:pPr>
        <w:jc w:val="both"/>
      </w:pPr>
      <w:r>
        <w:t>whereof I set my hand and official seal.</w:t>
      </w:r>
    </w:p>
    <w:p w:rsidR="00FF4693" w:rsidRDefault="00FF4693">
      <w:pPr>
        <w:jc w:val="both"/>
      </w:pPr>
    </w:p>
    <w:p w:rsidR="00FF4693" w:rsidRDefault="00FF4693">
      <w:pPr>
        <w:jc w:val="both"/>
      </w:pPr>
      <w:r>
        <w:t>__________________________________NOTARY PUBLIC</w:t>
      </w:r>
    </w:p>
    <w:p w:rsidR="00FF4693" w:rsidRDefault="00FF4693">
      <w:pPr>
        <w:jc w:val="both"/>
      </w:pPr>
    </w:p>
    <w:p w:rsidR="00FF4693" w:rsidRDefault="00FF4693">
      <w:pPr>
        <w:jc w:val="both"/>
        <w:rPr>
          <w:b/>
        </w:rPr>
      </w:pPr>
      <w:r>
        <w:t>My Commission Expires:_____________________________</w:t>
      </w:r>
    </w:p>
    <w:sectPr w:rsidR="00FF4693">
      <w:footerReference w:type="default" r:id="rId10"/>
      <w:type w:val="continuous"/>
      <w:pgSz w:w="12240" w:h="15840"/>
      <w:pgMar w:top="576" w:right="1296" w:bottom="57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CE" w:rsidRDefault="00B07BCE">
      <w:r>
        <w:separator/>
      </w:r>
    </w:p>
  </w:endnote>
  <w:endnote w:type="continuationSeparator" w:id="0">
    <w:p w:rsidR="00B07BCE" w:rsidRDefault="00B0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93" w:rsidRDefault="00FF469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1B1">
      <w:rPr>
        <w:rStyle w:val="PageNumber"/>
        <w:noProof/>
      </w:rPr>
      <w:t>3</w:t>
    </w:r>
    <w:r>
      <w:rPr>
        <w:rStyle w:val="PageNumber"/>
      </w:rPr>
      <w:fldChar w:fldCharType="end"/>
    </w:r>
  </w:p>
  <w:p w:rsidR="00FF4693" w:rsidRDefault="00FF4693">
    <w:pPr>
      <w:pStyle w:val="Footer"/>
    </w:pPr>
    <w:r>
      <w:t>FORM C</w:t>
    </w:r>
  </w:p>
  <w:p w:rsidR="00FF4693" w:rsidRDefault="00E124E8">
    <w:pPr>
      <w:pStyle w:val="Footer"/>
    </w:pPr>
    <w:r>
      <w:t>Rev 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CE" w:rsidRDefault="00B07BCE">
      <w:r>
        <w:separator/>
      </w:r>
    </w:p>
  </w:footnote>
  <w:footnote w:type="continuationSeparator" w:id="0">
    <w:p w:rsidR="00B07BCE" w:rsidRDefault="00B0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E2B290"/>
    <w:lvl w:ilvl="0">
      <w:numFmt w:val="bullet"/>
      <w:lvlText w:val="*"/>
      <w:lvlJc w:val="left"/>
    </w:lvl>
  </w:abstractNum>
  <w:abstractNum w:abstractNumId="1">
    <w:nsid w:val="024948FB"/>
    <w:multiLevelType w:val="singleLevel"/>
    <w:tmpl w:val="EEDE5292"/>
    <w:lvl w:ilvl="0">
      <w:start w:val="2"/>
      <w:numFmt w:val="decimal"/>
      <w:lvlText w:val="%1. "/>
      <w:legacy w:legacy="1" w:legacySpace="0" w:legacyIndent="360"/>
      <w:lvlJc w:val="left"/>
      <w:pPr>
        <w:ind w:left="360" w:hanging="360"/>
      </w:pPr>
      <w:rPr>
        <w:b w:val="0"/>
        <w:i w:val="0"/>
        <w:sz w:val="24"/>
      </w:rPr>
    </w:lvl>
  </w:abstractNum>
  <w:abstractNum w:abstractNumId="2">
    <w:nsid w:val="02860246"/>
    <w:multiLevelType w:val="singleLevel"/>
    <w:tmpl w:val="F0F6A168"/>
    <w:lvl w:ilvl="0">
      <w:start w:val="2"/>
      <w:numFmt w:val="upperLetter"/>
      <w:lvlText w:val="%1. "/>
      <w:legacy w:legacy="1" w:legacySpace="0" w:legacyIndent="360"/>
      <w:lvlJc w:val="left"/>
      <w:pPr>
        <w:ind w:left="360" w:hanging="360"/>
      </w:pPr>
      <w:rPr>
        <w:b w:val="0"/>
        <w:i w:val="0"/>
        <w:sz w:val="24"/>
      </w:rPr>
    </w:lvl>
  </w:abstractNum>
  <w:abstractNum w:abstractNumId="3">
    <w:nsid w:val="053C0DD1"/>
    <w:multiLevelType w:val="singleLevel"/>
    <w:tmpl w:val="59D6034E"/>
    <w:lvl w:ilvl="0">
      <w:start w:val="1"/>
      <w:numFmt w:val="lowerLetter"/>
      <w:lvlText w:val="%1. "/>
      <w:legacy w:legacy="1" w:legacySpace="120" w:legacyIndent="360"/>
      <w:lvlJc w:val="left"/>
      <w:pPr>
        <w:ind w:left="720" w:hanging="360"/>
      </w:pPr>
    </w:lvl>
  </w:abstractNum>
  <w:abstractNum w:abstractNumId="4">
    <w:nsid w:val="111C1678"/>
    <w:multiLevelType w:val="singleLevel"/>
    <w:tmpl w:val="402E8EA6"/>
    <w:lvl w:ilvl="0">
      <w:start w:val="1"/>
      <w:numFmt w:val="upperLetter"/>
      <w:lvlText w:val="%1. "/>
      <w:legacy w:legacy="1" w:legacySpace="0" w:legacyIndent="360"/>
      <w:lvlJc w:val="left"/>
      <w:pPr>
        <w:ind w:left="360" w:hanging="360"/>
      </w:pPr>
      <w:rPr>
        <w:b w:val="0"/>
        <w:i w:val="0"/>
        <w:sz w:val="24"/>
      </w:rPr>
    </w:lvl>
  </w:abstractNum>
  <w:abstractNum w:abstractNumId="5">
    <w:nsid w:val="11FC24C3"/>
    <w:multiLevelType w:val="singleLevel"/>
    <w:tmpl w:val="08D8B398"/>
    <w:lvl w:ilvl="0">
      <w:start w:val="5"/>
      <w:numFmt w:val="upperLetter"/>
      <w:lvlText w:val="%1. "/>
      <w:legacy w:legacy="1" w:legacySpace="0" w:legacyIndent="360"/>
      <w:lvlJc w:val="left"/>
      <w:pPr>
        <w:ind w:left="360" w:hanging="360"/>
      </w:pPr>
      <w:rPr>
        <w:b w:val="0"/>
        <w:i w:val="0"/>
        <w:sz w:val="24"/>
      </w:rPr>
    </w:lvl>
  </w:abstractNum>
  <w:abstractNum w:abstractNumId="6">
    <w:nsid w:val="143431C3"/>
    <w:multiLevelType w:val="singleLevel"/>
    <w:tmpl w:val="4AB43772"/>
    <w:lvl w:ilvl="0">
      <w:start w:val="1"/>
      <w:numFmt w:val="decimal"/>
      <w:lvlText w:val="%1. "/>
      <w:legacy w:legacy="1" w:legacySpace="0" w:legacyIndent="360"/>
      <w:lvlJc w:val="left"/>
      <w:pPr>
        <w:ind w:left="360" w:hanging="360"/>
      </w:pPr>
      <w:rPr>
        <w:b w:val="0"/>
        <w:i w:val="0"/>
        <w:sz w:val="24"/>
      </w:rPr>
    </w:lvl>
  </w:abstractNum>
  <w:abstractNum w:abstractNumId="7">
    <w:nsid w:val="14AA72C2"/>
    <w:multiLevelType w:val="singleLevel"/>
    <w:tmpl w:val="8ED6414A"/>
    <w:lvl w:ilvl="0">
      <w:start w:val="3"/>
      <w:numFmt w:val="decimal"/>
      <w:lvlText w:val="%1. "/>
      <w:legacy w:legacy="1" w:legacySpace="0" w:legacyIndent="360"/>
      <w:lvlJc w:val="left"/>
      <w:pPr>
        <w:ind w:left="360" w:hanging="360"/>
      </w:pPr>
      <w:rPr>
        <w:b w:val="0"/>
        <w:i w:val="0"/>
        <w:sz w:val="24"/>
      </w:rPr>
    </w:lvl>
  </w:abstractNum>
  <w:abstractNum w:abstractNumId="8">
    <w:nsid w:val="1EE97E55"/>
    <w:multiLevelType w:val="singleLevel"/>
    <w:tmpl w:val="9998F800"/>
    <w:lvl w:ilvl="0">
      <w:start w:val="4"/>
      <w:numFmt w:val="decimal"/>
      <w:lvlText w:val="%1. "/>
      <w:legacy w:legacy="1" w:legacySpace="120" w:legacyIndent="360"/>
      <w:lvlJc w:val="left"/>
      <w:pPr>
        <w:ind w:left="360" w:hanging="360"/>
      </w:pPr>
      <w:rPr>
        <w:b w:val="0"/>
        <w:i w:val="0"/>
        <w:sz w:val="24"/>
      </w:rPr>
    </w:lvl>
  </w:abstractNum>
  <w:abstractNum w:abstractNumId="9">
    <w:nsid w:val="26A94B38"/>
    <w:multiLevelType w:val="singleLevel"/>
    <w:tmpl w:val="EEDE5292"/>
    <w:lvl w:ilvl="0">
      <w:start w:val="2"/>
      <w:numFmt w:val="decimal"/>
      <w:lvlText w:val="%1. "/>
      <w:legacy w:legacy="1" w:legacySpace="0" w:legacyIndent="360"/>
      <w:lvlJc w:val="left"/>
      <w:pPr>
        <w:ind w:left="360" w:hanging="360"/>
      </w:pPr>
      <w:rPr>
        <w:b w:val="0"/>
        <w:i w:val="0"/>
        <w:sz w:val="24"/>
      </w:rPr>
    </w:lvl>
  </w:abstractNum>
  <w:abstractNum w:abstractNumId="10">
    <w:nsid w:val="3BCA6EE6"/>
    <w:multiLevelType w:val="singleLevel"/>
    <w:tmpl w:val="88B286CE"/>
    <w:lvl w:ilvl="0">
      <w:start w:val="4"/>
      <w:numFmt w:val="upperLetter"/>
      <w:lvlText w:val="%1. "/>
      <w:legacy w:legacy="1" w:legacySpace="0" w:legacyIndent="360"/>
      <w:lvlJc w:val="left"/>
      <w:pPr>
        <w:ind w:left="360" w:hanging="360"/>
      </w:pPr>
      <w:rPr>
        <w:b w:val="0"/>
        <w:i w:val="0"/>
        <w:sz w:val="24"/>
      </w:rPr>
    </w:lvl>
  </w:abstractNum>
  <w:abstractNum w:abstractNumId="11">
    <w:nsid w:val="3EC667DB"/>
    <w:multiLevelType w:val="singleLevel"/>
    <w:tmpl w:val="4AB43772"/>
    <w:lvl w:ilvl="0">
      <w:start w:val="1"/>
      <w:numFmt w:val="decimal"/>
      <w:lvlText w:val="%1. "/>
      <w:legacy w:legacy="1" w:legacySpace="0" w:legacyIndent="360"/>
      <w:lvlJc w:val="left"/>
      <w:pPr>
        <w:ind w:left="360" w:hanging="360"/>
      </w:pPr>
      <w:rPr>
        <w:b w:val="0"/>
        <w:i w:val="0"/>
        <w:sz w:val="24"/>
      </w:rPr>
    </w:lvl>
  </w:abstractNum>
  <w:abstractNum w:abstractNumId="12">
    <w:nsid w:val="4C761E8C"/>
    <w:multiLevelType w:val="singleLevel"/>
    <w:tmpl w:val="4AB43772"/>
    <w:lvl w:ilvl="0">
      <w:start w:val="1"/>
      <w:numFmt w:val="decimal"/>
      <w:lvlText w:val="%1. "/>
      <w:legacy w:legacy="1" w:legacySpace="0" w:legacyIndent="360"/>
      <w:lvlJc w:val="left"/>
      <w:pPr>
        <w:ind w:left="360" w:hanging="360"/>
      </w:pPr>
      <w:rPr>
        <w:b w:val="0"/>
        <w:i w:val="0"/>
        <w:sz w:val="24"/>
      </w:rPr>
    </w:lvl>
  </w:abstractNum>
  <w:abstractNum w:abstractNumId="13">
    <w:nsid w:val="532C7FCB"/>
    <w:multiLevelType w:val="singleLevel"/>
    <w:tmpl w:val="EEDE5292"/>
    <w:lvl w:ilvl="0">
      <w:start w:val="2"/>
      <w:numFmt w:val="decimal"/>
      <w:lvlText w:val="%1. "/>
      <w:legacy w:legacy="1" w:legacySpace="0" w:legacyIndent="360"/>
      <w:lvlJc w:val="left"/>
      <w:pPr>
        <w:ind w:left="360" w:hanging="360"/>
      </w:pPr>
      <w:rPr>
        <w:b w:val="0"/>
        <w:i w:val="0"/>
        <w:sz w:val="24"/>
      </w:rPr>
    </w:lvl>
  </w:abstractNum>
  <w:abstractNum w:abstractNumId="14">
    <w:nsid w:val="57D01502"/>
    <w:multiLevelType w:val="singleLevel"/>
    <w:tmpl w:val="64188948"/>
    <w:lvl w:ilvl="0">
      <w:start w:val="5"/>
      <w:numFmt w:val="decimal"/>
      <w:lvlText w:val="%1. "/>
      <w:legacy w:legacy="1" w:legacySpace="120" w:legacyIndent="360"/>
      <w:lvlJc w:val="left"/>
      <w:pPr>
        <w:ind w:left="360" w:hanging="360"/>
      </w:pPr>
      <w:rPr>
        <w:b w:val="0"/>
        <w:i w:val="0"/>
        <w:sz w:val="24"/>
      </w:rPr>
    </w:lvl>
  </w:abstractNum>
  <w:abstractNum w:abstractNumId="15">
    <w:nsid w:val="5AEB3467"/>
    <w:multiLevelType w:val="singleLevel"/>
    <w:tmpl w:val="B462B3FE"/>
    <w:lvl w:ilvl="0">
      <w:start w:val="1"/>
      <w:numFmt w:val="lowerLetter"/>
      <w:lvlText w:val="%1."/>
      <w:legacy w:legacy="1" w:legacySpace="120" w:legacyIndent="360"/>
      <w:lvlJc w:val="left"/>
      <w:pPr>
        <w:ind w:left="720" w:hanging="360"/>
      </w:pPr>
    </w:lvl>
  </w:abstractNum>
  <w:abstractNum w:abstractNumId="16">
    <w:nsid w:val="5D49133A"/>
    <w:multiLevelType w:val="singleLevel"/>
    <w:tmpl w:val="4AB43772"/>
    <w:lvl w:ilvl="0">
      <w:start w:val="1"/>
      <w:numFmt w:val="decimal"/>
      <w:lvlText w:val="%1. "/>
      <w:legacy w:legacy="1" w:legacySpace="0" w:legacyIndent="360"/>
      <w:lvlJc w:val="left"/>
      <w:pPr>
        <w:ind w:left="1080" w:hanging="360"/>
      </w:pPr>
      <w:rPr>
        <w:b w:val="0"/>
        <w:i w:val="0"/>
        <w:sz w:val="24"/>
      </w:rPr>
    </w:lvl>
  </w:abstractNum>
  <w:abstractNum w:abstractNumId="17">
    <w:nsid w:val="65B63A25"/>
    <w:multiLevelType w:val="singleLevel"/>
    <w:tmpl w:val="B462B3FE"/>
    <w:lvl w:ilvl="0">
      <w:start w:val="1"/>
      <w:numFmt w:val="lowerLetter"/>
      <w:lvlText w:val="%1."/>
      <w:legacy w:legacy="1" w:legacySpace="120" w:legacyIndent="360"/>
      <w:lvlJc w:val="left"/>
      <w:pPr>
        <w:ind w:left="720" w:hanging="360"/>
      </w:pPr>
    </w:lvl>
  </w:abstractNum>
  <w:abstractNum w:abstractNumId="18">
    <w:nsid w:val="784F53A2"/>
    <w:multiLevelType w:val="singleLevel"/>
    <w:tmpl w:val="4AB43772"/>
    <w:lvl w:ilvl="0">
      <w:start w:val="1"/>
      <w:numFmt w:val="decimal"/>
      <w:lvlText w:val="%1. "/>
      <w:legacy w:legacy="1" w:legacySpace="0" w:legacyIndent="360"/>
      <w:lvlJc w:val="left"/>
      <w:pPr>
        <w:ind w:left="1080" w:hanging="360"/>
      </w:pPr>
      <w:rPr>
        <w:b w:val="0"/>
        <w:i w:val="0"/>
        <w:sz w:val="24"/>
      </w:rPr>
    </w:lvl>
  </w:abstractNum>
  <w:abstractNum w:abstractNumId="19">
    <w:nsid w:val="7CBA35EF"/>
    <w:multiLevelType w:val="singleLevel"/>
    <w:tmpl w:val="A044B860"/>
    <w:lvl w:ilvl="0">
      <w:start w:val="3"/>
      <w:numFmt w:val="upperLetter"/>
      <w:lvlText w:val="%1. "/>
      <w:legacy w:legacy="1" w:legacySpace="0" w:legacyIndent="360"/>
      <w:lvlJc w:val="left"/>
      <w:pPr>
        <w:ind w:left="360" w:hanging="360"/>
      </w:pPr>
      <w:rPr>
        <w:b w:val="0"/>
        <w:i w:val="0"/>
        <w:sz w:val="24"/>
      </w:rPr>
    </w:lvl>
  </w:abstractNum>
  <w:num w:numId="1">
    <w:abstractNumId w:val="12"/>
  </w:num>
  <w:num w:numId="2">
    <w:abstractNumId w:val="1"/>
  </w:num>
  <w:num w:numId="3">
    <w:abstractNumId w:val="7"/>
  </w:num>
  <w:num w:numId="4">
    <w:abstractNumId w:val="3"/>
  </w:num>
  <w:num w:numId="5">
    <w:abstractNumId w:val="8"/>
  </w:num>
  <w:num w:numId="6">
    <w:abstractNumId w:val="14"/>
  </w:num>
  <w:num w:numId="7">
    <w:abstractNumId w:val="6"/>
  </w:num>
  <w:num w:numId="8">
    <w:abstractNumId w:val="13"/>
  </w:num>
  <w:num w:numId="9">
    <w:abstractNumId w:val="17"/>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15"/>
  </w:num>
  <w:num w:numId="12">
    <w:abstractNumId w:val="9"/>
  </w:num>
  <w:num w:numId="13">
    <w:abstractNumId w:val="4"/>
  </w:num>
  <w:num w:numId="14">
    <w:abstractNumId w:val="2"/>
  </w:num>
  <w:num w:numId="15">
    <w:abstractNumId w:val="16"/>
  </w:num>
  <w:num w:numId="16">
    <w:abstractNumId w:val="19"/>
  </w:num>
  <w:num w:numId="17">
    <w:abstractNumId w:val="18"/>
  </w:num>
  <w:num w:numId="18">
    <w:abstractNumId w:val="1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76"/>
    <w:rsid w:val="00090AD0"/>
    <w:rsid w:val="00314ACF"/>
    <w:rsid w:val="00397C76"/>
    <w:rsid w:val="004971B1"/>
    <w:rsid w:val="00776D2F"/>
    <w:rsid w:val="009D67AC"/>
    <w:rsid w:val="00AA3690"/>
    <w:rsid w:val="00B07BCE"/>
    <w:rsid w:val="00B13574"/>
    <w:rsid w:val="00C16253"/>
    <w:rsid w:val="00C86735"/>
    <w:rsid w:val="00D224D3"/>
    <w:rsid w:val="00E124E8"/>
    <w:rsid w:val="00F91110"/>
    <w:rsid w:val="00FF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6">
    <w:name w:val="heading 6"/>
    <w:basedOn w:val="Normal"/>
    <w:qFormat/>
    <w:pPr>
      <w:spacing w:before="100" w:after="100"/>
      <w:outlineLvl w:val="5"/>
    </w:pPr>
    <w:rPr>
      <w:rFonts w:ascii="Arial Unicode MS" w:eastAsia="Arial Unicode MS"/>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0"/>
    </w:rPr>
  </w:style>
  <w:style w:type="paragraph" w:customStyle="1" w:styleId="opening">
    <w:name w:val="opening"/>
    <w:basedOn w:val="Normal"/>
    <w:pPr>
      <w:jc w:val="both"/>
    </w:pPr>
    <w:rPr>
      <w:color w:val="000000"/>
      <w:sz w:val="18"/>
    </w:rPr>
  </w:style>
  <w:style w:type="paragraph" w:customStyle="1" w:styleId="section2">
    <w:name w:val="section2"/>
    <w:basedOn w:val="Normal"/>
    <w:pPr>
      <w:jc w:val="both"/>
    </w:pPr>
    <w:rPr>
      <w:b/>
      <w:color w:val="000000"/>
      <w:sz w:val="18"/>
    </w:rPr>
  </w:style>
  <w:style w:type="paragraph" w:customStyle="1" w:styleId="note">
    <w:name w:val="note"/>
    <w:basedOn w:val="Normal"/>
    <w:pPr>
      <w:spacing w:after="100"/>
      <w:ind w:left="360" w:right="360" w:hanging="360"/>
      <w:jc w:val="center"/>
    </w:pPr>
    <w:rPr>
      <w:color w:val="000000"/>
      <w:sz w:val="18"/>
    </w:rPr>
  </w:style>
  <w:style w:type="paragraph" w:customStyle="1" w:styleId="level-1">
    <w:name w:val="level-1"/>
    <w:basedOn w:val="Normal"/>
    <w:pPr>
      <w:ind w:left="360" w:hanging="360"/>
      <w:jc w:val="both"/>
    </w:pPr>
    <w:rPr>
      <w:color w:val="000000"/>
      <w:sz w:val="18"/>
    </w:rPr>
  </w:style>
  <w:style w:type="paragraph" w:styleId="BodyText2">
    <w:name w:val="Body Text 2"/>
    <w:basedOn w:val="Normal"/>
    <w:pPr>
      <w:ind w:left="360"/>
      <w:jc w:val="both"/>
    </w:pPr>
    <w:rPr>
      <w:b/>
      <w:color w:val="000000"/>
    </w:rPr>
  </w:style>
  <w:style w:type="paragraph" w:styleId="BodyTextIndent2">
    <w:name w:val="Body Text Indent 2"/>
    <w:basedOn w:val="Normal"/>
    <w:pPr>
      <w:ind w:left="720"/>
      <w:jc w:val="both"/>
    </w:pPr>
  </w:style>
  <w:style w:type="paragraph" w:styleId="BodyText3">
    <w:name w:val="Body Text 3"/>
    <w:basedOn w:val="Normal"/>
    <w:rPr>
      <w:color w:val="000000"/>
    </w:rPr>
  </w:style>
  <w:style w:type="paragraph" w:styleId="BalloonText">
    <w:name w:val="Balloon Text"/>
    <w:basedOn w:val="Normal"/>
    <w:link w:val="BalloonTextChar"/>
    <w:uiPriority w:val="99"/>
    <w:semiHidden/>
    <w:unhideWhenUsed/>
    <w:rsid w:val="00E124E8"/>
    <w:rPr>
      <w:rFonts w:ascii="Tahoma" w:hAnsi="Tahoma" w:cs="Tahoma"/>
      <w:sz w:val="16"/>
      <w:szCs w:val="16"/>
    </w:rPr>
  </w:style>
  <w:style w:type="character" w:customStyle="1" w:styleId="BalloonTextChar">
    <w:name w:val="Balloon Text Char"/>
    <w:basedOn w:val="DefaultParagraphFont"/>
    <w:link w:val="BalloonText"/>
    <w:uiPriority w:val="99"/>
    <w:semiHidden/>
    <w:rsid w:val="00E124E8"/>
    <w:rPr>
      <w:rFonts w:ascii="Tahoma" w:hAnsi="Tahoma" w:cs="Tahoma"/>
      <w:sz w:val="16"/>
      <w:szCs w:val="16"/>
    </w:rPr>
  </w:style>
  <w:style w:type="character" w:styleId="Hyperlink">
    <w:name w:val="Hyperlink"/>
    <w:basedOn w:val="DefaultParagraphFont"/>
    <w:uiPriority w:val="99"/>
    <w:unhideWhenUsed/>
    <w:rsid w:val="00314A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6">
    <w:name w:val="heading 6"/>
    <w:basedOn w:val="Normal"/>
    <w:qFormat/>
    <w:pPr>
      <w:spacing w:before="100" w:after="100"/>
      <w:outlineLvl w:val="5"/>
    </w:pPr>
    <w:rPr>
      <w:rFonts w:ascii="Arial Unicode MS" w:eastAsia="Arial Unicode MS"/>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0"/>
    </w:rPr>
  </w:style>
  <w:style w:type="paragraph" w:customStyle="1" w:styleId="opening">
    <w:name w:val="opening"/>
    <w:basedOn w:val="Normal"/>
    <w:pPr>
      <w:jc w:val="both"/>
    </w:pPr>
    <w:rPr>
      <w:color w:val="000000"/>
      <w:sz w:val="18"/>
    </w:rPr>
  </w:style>
  <w:style w:type="paragraph" w:customStyle="1" w:styleId="section2">
    <w:name w:val="section2"/>
    <w:basedOn w:val="Normal"/>
    <w:pPr>
      <w:jc w:val="both"/>
    </w:pPr>
    <w:rPr>
      <w:b/>
      <w:color w:val="000000"/>
      <w:sz w:val="18"/>
    </w:rPr>
  </w:style>
  <w:style w:type="paragraph" w:customStyle="1" w:styleId="note">
    <w:name w:val="note"/>
    <w:basedOn w:val="Normal"/>
    <w:pPr>
      <w:spacing w:after="100"/>
      <w:ind w:left="360" w:right="360" w:hanging="360"/>
      <w:jc w:val="center"/>
    </w:pPr>
    <w:rPr>
      <w:color w:val="000000"/>
      <w:sz w:val="18"/>
    </w:rPr>
  </w:style>
  <w:style w:type="paragraph" w:customStyle="1" w:styleId="level-1">
    <w:name w:val="level-1"/>
    <w:basedOn w:val="Normal"/>
    <w:pPr>
      <w:ind w:left="360" w:hanging="360"/>
      <w:jc w:val="both"/>
    </w:pPr>
    <w:rPr>
      <w:color w:val="000000"/>
      <w:sz w:val="18"/>
    </w:rPr>
  </w:style>
  <w:style w:type="paragraph" w:styleId="BodyText2">
    <w:name w:val="Body Text 2"/>
    <w:basedOn w:val="Normal"/>
    <w:pPr>
      <w:ind w:left="360"/>
      <w:jc w:val="both"/>
    </w:pPr>
    <w:rPr>
      <w:b/>
      <w:color w:val="000000"/>
    </w:rPr>
  </w:style>
  <w:style w:type="paragraph" w:styleId="BodyTextIndent2">
    <w:name w:val="Body Text Indent 2"/>
    <w:basedOn w:val="Normal"/>
    <w:pPr>
      <w:ind w:left="720"/>
      <w:jc w:val="both"/>
    </w:pPr>
  </w:style>
  <w:style w:type="paragraph" w:styleId="BodyText3">
    <w:name w:val="Body Text 3"/>
    <w:basedOn w:val="Normal"/>
    <w:rPr>
      <w:color w:val="000000"/>
    </w:rPr>
  </w:style>
  <w:style w:type="paragraph" w:styleId="BalloonText">
    <w:name w:val="Balloon Text"/>
    <w:basedOn w:val="Normal"/>
    <w:link w:val="BalloonTextChar"/>
    <w:uiPriority w:val="99"/>
    <w:semiHidden/>
    <w:unhideWhenUsed/>
    <w:rsid w:val="00E124E8"/>
    <w:rPr>
      <w:rFonts w:ascii="Tahoma" w:hAnsi="Tahoma" w:cs="Tahoma"/>
      <w:sz w:val="16"/>
      <w:szCs w:val="16"/>
    </w:rPr>
  </w:style>
  <w:style w:type="character" w:customStyle="1" w:styleId="BalloonTextChar">
    <w:name w:val="Balloon Text Char"/>
    <w:basedOn w:val="DefaultParagraphFont"/>
    <w:link w:val="BalloonText"/>
    <w:uiPriority w:val="99"/>
    <w:semiHidden/>
    <w:rsid w:val="00E124E8"/>
    <w:rPr>
      <w:rFonts w:ascii="Tahoma" w:hAnsi="Tahoma" w:cs="Tahoma"/>
      <w:sz w:val="16"/>
      <w:szCs w:val="16"/>
    </w:rPr>
  </w:style>
  <w:style w:type="character" w:styleId="Hyperlink">
    <w:name w:val="Hyperlink"/>
    <w:basedOn w:val="DefaultParagraphFont"/>
    <w:uiPriority w:val="99"/>
    <w:unhideWhenUsed/>
    <w:rsid w:val="00314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r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1731</Words>
  <Characters>10153</Characters>
  <Application>Microsoft Office Word</Application>
  <DocSecurity>4</DocSecurity>
  <Lines>84</Lines>
  <Paragraphs>23</Paragraphs>
  <ScaleCrop>false</ScaleCrop>
  <HeadingPairs>
    <vt:vector size="4" baseType="variant">
      <vt:variant>
        <vt:lpstr>Title</vt:lpstr>
      </vt:variant>
      <vt:variant>
        <vt:i4>1</vt:i4>
      </vt:variant>
      <vt:variant>
        <vt:lpstr>PHOENIX OFFICE:</vt:lpstr>
      </vt:variant>
      <vt:variant>
        <vt:i4>0</vt:i4>
      </vt:variant>
    </vt:vector>
  </HeadingPairs>
  <TitlesOfParts>
    <vt:vector size="1" baseType="lpstr">
      <vt:lpstr>PHOENIX OFFICE:</vt:lpstr>
    </vt:vector>
  </TitlesOfParts>
  <Company>Arizona Department of Real Estate</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OFFICE:</dc:title>
  <dc:creator>Users</dc:creator>
  <cp:lastModifiedBy>Lancing Adams</cp:lastModifiedBy>
  <cp:revision>2</cp:revision>
  <cp:lastPrinted>2005-09-20T14:49:00Z</cp:lastPrinted>
  <dcterms:created xsi:type="dcterms:W3CDTF">2019-09-30T19:38:00Z</dcterms:created>
  <dcterms:modified xsi:type="dcterms:W3CDTF">2019-09-30T19:38:00Z</dcterms:modified>
</cp:coreProperties>
</file>