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F2" w:rsidRDefault="00CD73F2"/>
    <w:p w:rsidR="00C14CD0" w:rsidRDefault="00C14CD0"/>
    <w:p w:rsidR="00A85287" w:rsidRDefault="00A85287" w:rsidP="00A85287">
      <w:pPr>
        <w:tabs>
          <w:tab w:val="right" w:pos="9360"/>
        </w:tabs>
      </w:pPr>
      <w:r>
        <w:t>PHOENIX OFFICE:</w:t>
      </w:r>
    </w:p>
    <w:p w:rsidR="00A85287" w:rsidRDefault="005D43FF" w:rsidP="00A85287">
      <w:pPr>
        <w:tabs>
          <w:tab w:val="right" w:pos="9360"/>
        </w:tabs>
      </w:pPr>
      <w:r>
        <w:t>100 North 15</w:t>
      </w:r>
      <w:r w:rsidRPr="005D43FF">
        <w:rPr>
          <w:vertAlign w:val="superscript"/>
        </w:rPr>
        <w:t>th</w:t>
      </w:r>
      <w:r>
        <w:t xml:space="preserve"> Avenue</w:t>
      </w:r>
    </w:p>
    <w:p w:rsidR="00A85287" w:rsidRDefault="005D43FF" w:rsidP="00A85287">
      <w:pPr>
        <w:tabs>
          <w:tab w:val="right" w:pos="9360"/>
        </w:tabs>
      </w:pPr>
      <w:r>
        <w:t>Suite 201</w:t>
      </w:r>
    </w:p>
    <w:p w:rsidR="00A85287" w:rsidRDefault="005D43FF" w:rsidP="00A85287">
      <w:pPr>
        <w:tabs>
          <w:tab w:val="right" w:pos="9360"/>
        </w:tabs>
      </w:pPr>
      <w:r>
        <w:t>Phoenix, Arizona 85007</w:t>
      </w:r>
    </w:p>
    <w:p w:rsidR="00A85287" w:rsidRDefault="005D43FF" w:rsidP="00A85287">
      <w:pPr>
        <w:tabs>
          <w:tab w:val="right" w:pos="9360"/>
        </w:tabs>
      </w:pPr>
      <w:hyperlink r:id="rId8" w:history="1">
        <w:r w:rsidRPr="004726C1">
          <w:rPr>
            <w:rStyle w:val="Hyperlink"/>
          </w:rPr>
          <w:t>www.azre.gov</w:t>
        </w:r>
      </w:hyperlink>
    </w:p>
    <w:p w:rsidR="00A85287" w:rsidRDefault="00A85287" w:rsidP="00A85287">
      <w:pPr>
        <w:jc w:val="center"/>
      </w:pPr>
      <w:bookmarkStart w:id="0" w:name="_GoBack"/>
      <w:bookmarkEnd w:id="0"/>
    </w:p>
    <w:p w:rsidR="00A85287" w:rsidRPr="00A85287" w:rsidRDefault="00A85287" w:rsidP="00A85287">
      <w:pPr>
        <w:jc w:val="center"/>
        <w:rPr>
          <w:sz w:val="40"/>
          <w:szCs w:val="40"/>
        </w:rPr>
      </w:pPr>
      <w:r w:rsidRPr="00A85287">
        <w:rPr>
          <w:sz w:val="40"/>
          <w:szCs w:val="40"/>
        </w:rPr>
        <w:t>STATE OF ARIZONA</w:t>
      </w:r>
    </w:p>
    <w:p w:rsidR="00A85287" w:rsidRDefault="00A85287" w:rsidP="00A85287">
      <w:pPr>
        <w:jc w:val="center"/>
      </w:pPr>
      <w:r w:rsidRPr="00A85287">
        <w:rPr>
          <w:sz w:val="40"/>
          <w:szCs w:val="40"/>
        </w:rPr>
        <w:t>DEPARTMENT OF REAL ESTATE</w:t>
      </w:r>
    </w:p>
    <w:p w:rsidR="00CD73F2" w:rsidRDefault="00CD73F2"/>
    <w:p w:rsidR="00CD73F2" w:rsidRDefault="00CD73F2"/>
    <w:p w:rsidR="00CD73F2" w:rsidRDefault="001C5E2F">
      <w:pPr>
        <w:pStyle w:val="Title"/>
        <w:rPr>
          <w:rFonts w:ascii="Times New Roman" w:hAnsi="Times New Roman"/>
          <w:sz w:val="24"/>
        </w:rPr>
      </w:pPr>
      <w:r>
        <w:rPr>
          <w:rFonts w:ascii="Times New Roman" w:hAnsi="Times New Roman"/>
          <w:sz w:val="24"/>
        </w:rPr>
        <w:t>CFPB</w:t>
      </w:r>
      <w:r w:rsidR="00CD73F2">
        <w:rPr>
          <w:rFonts w:ascii="Times New Roman" w:hAnsi="Times New Roman"/>
          <w:sz w:val="24"/>
        </w:rPr>
        <w:t xml:space="preserve"> SUPPLEMENT FOR SUBDIVISION AND </w:t>
      </w:r>
    </w:p>
    <w:p w:rsidR="00CD73F2" w:rsidRDefault="00CD73F2">
      <w:pPr>
        <w:pStyle w:val="Subtitle"/>
        <w:rPr>
          <w:rFonts w:ascii="Times New Roman" w:hAnsi="Times New Roman"/>
        </w:rPr>
      </w:pPr>
      <w:r>
        <w:rPr>
          <w:rFonts w:ascii="Times New Roman" w:hAnsi="Times New Roman"/>
          <w:b/>
        </w:rPr>
        <w:t>UNSUBDIVIDED LAND QUESTIONNAIRES</w:t>
      </w:r>
    </w:p>
    <w:p w:rsidR="00CD73F2" w:rsidRDefault="00CD73F2">
      <w:pPr>
        <w:jc w:val="both"/>
        <w:rPr>
          <w:sz w:val="24"/>
        </w:rPr>
      </w:pPr>
    </w:p>
    <w:p w:rsidR="00CD73F2" w:rsidRDefault="00CD73F2">
      <w:pPr>
        <w:pStyle w:val="BodyText"/>
        <w:jc w:val="both"/>
        <w:rPr>
          <w:sz w:val="24"/>
        </w:rPr>
      </w:pPr>
      <w:r>
        <w:rPr>
          <w:sz w:val="24"/>
        </w:rPr>
        <w:t>FOR DEVELOPERS THAT ARE REQUIRED TO FILE FOR, AND OBTAIN, A</w:t>
      </w:r>
      <w:r w:rsidR="001C5E2F">
        <w:rPr>
          <w:sz w:val="24"/>
        </w:rPr>
        <w:t>N EFFECTIVE DATE FOR THE PROPERTY REPORT</w:t>
      </w:r>
      <w:r>
        <w:rPr>
          <w:sz w:val="24"/>
        </w:rPr>
        <w:t xml:space="preserve"> FROM THE INTERSTATE LAND SALES</w:t>
      </w:r>
      <w:r w:rsidR="001C5E2F">
        <w:rPr>
          <w:sz w:val="24"/>
        </w:rPr>
        <w:t xml:space="preserve"> REGISTRATION PROGRAM </w:t>
      </w:r>
      <w:r>
        <w:rPr>
          <w:sz w:val="24"/>
        </w:rPr>
        <w:t xml:space="preserve">OF THE </w:t>
      </w:r>
      <w:r w:rsidR="001C5E2F">
        <w:rPr>
          <w:sz w:val="24"/>
        </w:rPr>
        <w:t>BUREAU OF CONSUMER FINANCIAL PROTECTION (CFPB)</w:t>
      </w:r>
      <w:r>
        <w:rPr>
          <w:sz w:val="24"/>
        </w:rPr>
        <w:t>.</w:t>
      </w:r>
    </w:p>
    <w:p w:rsidR="00CD73F2" w:rsidRDefault="00CD73F2" w:rsidP="001C5E2F">
      <w:pPr>
        <w:pStyle w:val="Heading8"/>
        <w:ind w:left="2160" w:hanging="720"/>
      </w:pPr>
      <w:r>
        <w:t>Note:</w:t>
      </w:r>
      <w:r>
        <w:tab/>
        <w:t xml:space="preserve">The requirement to ascertain whether the developer is required to </w:t>
      </w:r>
      <w:r w:rsidR="001C5E2F">
        <w:t>file</w:t>
      </w:r>
      <w:r>
        <w:t xml:space="preserve"> a </w:t>
      </w:r>
      <w:r w:rsidR="001C5E2F">
        <w:t xml:space="preserve">property report with CFPB </w:t>
      </w:r>
      <w:r>
        <w:t xml:space="preserve">is the responsibility of the developer.  Any questions arising from doubts about registration can be addressed in writing, or by telephone to </w:t>
      </w:r>
      <w:r w:rsidR="001C5E2F">
        <w:t>CFPB</w:t>
      </w:r>
      <w:r>
        <w:t>.</w:t>
      </w:r>
      <w:r w:rsidR="001C5E2F">
        <w:t xml:space="preserve"> </w:t>
      </w:r>
      <w:r>
        <w:t>(See Attachment B)</w:t>
      </w:r>
    </w:p>
    <w:p w:rsidR="00CD73F2" w:rsidRDefault="00CD73F2">
      <w:pPr>
        <w:ind w:left="1440" w:hanging="1440"/>
        <w:jc w:val="both"/>
        <w:rPr>
          <w:sz w:val="24"/>
        </w:rPr>
      </w:pPr>
    </w:p>
    <w:p w:rsidR="00CD73F2" w:rsidRDefault="00CD73F2">
      <w:pPr>
        <w:pStyle w:val="BodyText"/>
        <w:jc w:val="both"/>
        <w:rPr>
          <w:sz w:val="24"/>
        </w:rPr>
      </w:pPr>
      <w:r>
        <w:rPr>
          <w:sz w:val="24"/>
        </w:rPr>
        <w:t xml:space="preserve">In addition to the regular Questionnaire, the following data is required to comply with the Interstate Land Sales Full Disclosure Act and the Certification Agreement dated July 30, 1999, </w:t>
      </w:r>
      <w:r w:rsidR="001C5E2F">
        <w:rPr>
          <w:sz w:val="24"/>
        </w:rPr>
        <w:t xml:space="preserve">originally </w:t>
      </w:r>
      <w:r>
        <w:rPr>
          <w:sz w:val="24"/>
        </w:rPr>
        <w:t xml:space="preserve">between </w:t>
      </w:r>
      <w:r w:rsidR="001C5E2F">
        <w:rPr>
          <w:sz w:val="24"/>
        </w:rPr>
        <w:t>the Department of Housing and Urban Development (</w:t>
      </w:r>
      <w:r>
        <w:rPr>
          <w:sz w:val="24"/>
        </w:rPr>
        <w:t>HUD</w:t>
      </w:r>
      <w:r w:rsidR="001C5E2F">
        <w:rPr>
          <w:sz w:val="24"/>
        </w:rPr>
        <w:t>) (now maintained by CFPB)</w:t>
      </w:r>
      <w:r>
        <w:rPr>
          <w:sz w:val="24"/>
        </w:rPr>
        <w:t xml:space="preserve"> and this Department:</w:t>
      </w:r>
    </w:p>
    <w:p w:rsidR="00CD73F2" w:rsidRDefault="00CD73F2">
      <w:pPr>
        <w:pStyle w:val="BodyText"/>
        <w:rPr>
          <w:sz w:val="24"/>
        </w:rPr>
      </w:pPr>
    </w:p>
    <w:p w:rsidR="00CD73F2" w:rsidRDefault="00CD73F2">
      <w:pPr>
        <w:pStyle w:val="List2"/>
        <w:numPr>
          <w:ilvl w:val="0"/>
          <w:numId w:val="1"/>
        </w:numPr>
        <w:jc w:val="both"/>
        <w:rPr>
          <w:sz w:val="24"/>
        </w:rPr>
      </w:pPr>
      <w:r>
        <w:rPr>
          <w:sz w:val="24"/>
        </w:rPr>
        <w:t xml:space="preserve">The completed Federal Fact Sheet (Attachment A).  The fact sheet must be filed with </w:t>
      </w:r>
      <w:r w:rsidR="001C5E2F">
        <w:rPr>
          <w:sz w:val="24"/>
        </w:rPr>
        <w:t>CFPB</w:t>
      </w:r>
      <w:r>
        <w:rPr>
          <w:sz w:val="24"/>
        </w:rPr>
        <w:t xml:space="preserve"> together with your Certified Arizona Subdivision disclosure report and </w:t>
      </w:r>
      <w:r w:rsidR="001C5E2F">
        <w:rPr>
          <w:sz w:val="24"/>
        </w:rPr>
        <w:t>CFPB</w:t>
      </w:r>
      <w:r>
        <w:rPr>
          <w:sz w:val="24"/>
        </w:rPr>
        <w:t>’s applicable fee.</w:t>
      </w:r>
    </w:p>
    <w:p w:rsidR="00CD73F2" w:rsidRDefault="00CD73F2">
      <w:pPr>
        <w:pStyle w:val="List2"/>
        <w:numPr>
          <w:ilvl w:val="12"/>
          <w:numId w:val="0"/>
        </w:numPr>
        <w:ind w:left="360"/>
        <w:rPr>
          <w:sz w:val="24"/>
        </w:rPr>
      </w:pPr>
    </w:p>
    <w:p w:rsidR="00CD73F2" w:rsidRDefault="00CD73F2">
      <w:pPr>
        <w:pStyle w:val="List2"/>
        <w:numPr>
          <w:ilvl w:val="0"/>
          <w:numId w:val="1"/>
        </w:numPr>
        <w:jc w:val="both"/>
        <w:rPr>
          <w:sz w:val="24"/>
        </w:rPr>
      </w:pPr>
      <w:r>
        <w:rPr>
          <w:sz w:val="24"/>
        </w:rPr>
        <w:t>Specimens of all Contracts, Agreements to Purchase, or Promissory Notes must contain the following:</w:t>
      </w:r>
    </w:p>
    <w:p w:rsidR="00CD73F2" w:rsidRDefault="00CD73F2">
      <w:pPr>
        <w:jc w:val="both"/>
        <w:rPr>
          <w:sz w:val="24"/>
        </w:rPr>
      </w:pPr>
    </w:p>
    <w:p w:rsidR="00CD73F2" w:rsidRDefault="00CD73F2">
      <w:pPr>
        <w:pStyle w:val="List3"/>
        <w:numPr>
          <w:ilvl w:val="0"/>
          <w:numId w:val="2"/>
        </w:numPr>
        <w:ind w:left="1350" w:hanging="630"/>
        <w:jc w:val="both"/>
        <w:rPr>
          <w:sz w:val="24"/>
        </w:rPr>
      </w:pPr>
      <w:r>
        <w:rPr>
          <w:sz w:val="24"/>
        </w:rPr>
        <w:t>“IF YOU RECEIVED THE SUBDIVISION DISCLOSURE REPORT PRIOR TO SIGNING A CONTRACT OR AGREEMENT, YOU MAY CANCEL YOUR CONTRACT OR AGREEMENT BY GIVING NOTICE TO THE SELLER ANYTIME BEFORE MIDNIGHT OF THE SEVENTH DAY FOLLOWING THE SIGNING OF THE CONTRACT OR AGREEMENT.</w:t>
      </w:r>
    </w:p>
    <w:p w:rsidR="00CD73F2" w:rsidRDefault="00CD73F2">
      <w:pPr>
        <w:pStyle w:val="BodyText5"/>
        <w:spacing w:after="0"/>
        <w:ind w:left="1440" w:firstLine="90"/>
        <w:rPr>
          <w:sz w:val="24"/>
        </w:rPr>
      </w:pPr>
    </w:p>
    <w:p w:rsidR="00CD73F2" w:rsidRDefault="00CD73F2">
      <w:pPr>
        <w:pStyle w:val="List3"/>
        <w:numPr>
          <w:ilvl w:val="0"/>
          <w:numId w:val="3"/>
        </w:numPr>
        <w:ind w:hanging="720"/>
        <w:jc w:val="both"/>
        <w:rPr>
          <w:sz w:val="24"/>
        </w:rPr>
      </w:pPr>
      <w:r>
        <w:rPr>
          <w:sz w:val="24"/>
        </w:rPr>
        <w:t>IF YOU HAVE SIGNED A PURCHASE AGREEMENT PRIOR TO INSPECTING THE LOT, YOU HAVE SIX MONTHS TO INSPECT AND UPON INSPECTION MAY RESCIND THE PURCHASE AGREEMENT.</w:t>
      </w:r>
    </w:p>
    <w:p w:rsidR="00CD73F2" w:rsidRDefault="00CD73F2">
      <w:pPr>
        <w:pStyle w:val="List3"/>
        <w:numPr>
          <w:ilvl w:val="12"/>
          <w:numId w:val="0"/>
        </w:numPr>
        <w:ind w:left="720" w:firstLine="720"/>
        <w:rPr>
          <w:sz w:val="24"/>
        </w:rPr>
      </w:pPr>
    </w:p>
    <w:p w:rsidR="00CD73F2" w:rsidRDefault="00CD73F2">
      <w:pPr>
        <w:pStyle w:val="List3"/>
        <w:ind w:left="1440" w:hanging="720"/>
        <w:jc w:val="both"/>
        <w:rPr>
          <w:sz w:val="24"/>
        </w:rPr>
      </w:pPr>
      <w:r>
        <w:t>C.</w:t>
      </w:r>
      <w:r>
        <w:tab/>
      </w:r>
      <w:r>
        <w:rPr>
          <w:sz w:val="24"/>
        </w:rPr>
        <w:t>IF YOU DID NOT RECEIVE THE SUBDIVISION DISCLOSURE REPORT BEFORE YOU SIGNED A CONTRACT OR AGREEMENT YOU MAY CANCEL THE CONTRACT OR AGREEMENT ANYTIME WITHIN TWO YEARS FROM THE DATE OF SIGNING.”</w:t>
      </w:r>
    </w:p>
    <w:p w:rsidR="00CD73F2" w:rsidRDefault="00CD73F2">
      <w:pPr>
        <w:ind w:left="1440"/>
        <w:jc w:val="both"/>
        <w:rPr>
          <w:sz w:val="24"/>
        </w:rPr>
      </w:pPr>
    </w:p>
    <w:p w:rsidR="00CD73F2" w:rsidRDefault="001C5E2F" w:rsidP="001C5E2F">
      <w:pPr>
        <w:pStyle w:val="Heading1"/>
        <w:spacing w:before="0" w:after="0"/>
        <w:rPr>
          <w:rFonts w:ascii="Times New Roman" w:hAnsi="Times New Roman"/>
          <w:b w:val="0"/>
          <w:sz w:val="24"/>
          <w:lang w:val="fr-FR"/>
        </w:rPr>
      </w:pPr>
      <w:r>
        <w:rPr>
          <w:rFonts w:ascii="Times New Roman" w:hAnsi="Times New Roman"/>
          <w:b w:val="0"/>
          <w:sz w:val="24"/>
          <w:lang w:val="fr-FR"/>
        </w:rPr>
        <w:t xml:space="preserve">FORM E </w:t>
      </w:r>
      <w:r w:rsidR="000E5F2B">
        <w:rPr>
          <w:rFonts w:ascii="Times New Roman" w:hAnsi="Times New Roman"/>
          <w:b w:val="0"/>
          <w:sz w:val="24"/>
          <w:lang w:val="fr-FR"/>
        </w:rPr>
        <w:t>(</w:t>
      </w:r>
      <w:proofErr w:type="spellStart"/>
      <w:r>
        <w:rPr>
          <w:rFonts w:ascii="Times New Roman" w:hAnsi="Times New Roman"/>
          <w:b w:val="0"/>
          <w:sz w:val="24"/>
          <w:lang w:val="fr-FR"/>
        </w:rPr>
        <w:t>S</w:t>
      </w:r>
      <w:r w:rsidR="00CD73F2">
        <w:rPr>
          <w:rFonts w:ascii="Times New Roman" w:hAnsi="Times New Roman"/>
          <w:b w:val="0"/>
          <w:sz w:val="24"/>
          <w:lang w:val="fr-FR"/>
        </w:rPr>
        <w:t>upplement</w:t>
      </w:r>
      <w:proofErr w:type="spellEnd"/>
      <w:r>
        <w:rPr>
          <w:rFonts w:ascii="Times New Roman" w:hAnsi="Times New Roman"/>
          <w:b w:val="0"/>
          <w:sz w:val="24"/>
          <w:lang w:val="fr-FR"/>
        </w:rPr>
        <w:t xml:space="preserve"> </w:t>
      </w:r>
      <w:proofErr w:type="spellStart"/>
      <w:r w:rsidR="00CD73F2">
        <w:rPr>
          <w:rFonts w:ascii="Times New Roman" w:hAnsi="Times New Roman"/>
          <w:b w:val="0"/>
          <w:sz w:val="24"/>
          <w:lang w:val="fr-FR"/>
        </w:rPr>
        <w:t>cont</w:t>
      </w:r>
      <w:r>
        <w:rPr>
          <w:rFonts w:ascii="Times New Roman" w:hAnsi="Times New Roman"/>
          <w:b w:val="0"/>
          <w:sz w:val="24"/>
          <w:lang w:val="fr-FR"/>
        </w:rPr>
        <w:t>inued</w:t>
      </w:r>
      <w:proofErr w:type="spellEnd"/>
      <w:r w:rsidR="000E5F2B">
        <w:rPr>
          <w:rFonts w:ascii="Times New Roman" w:hAnsi="Times New Roman"/>
          <w:b w:val="0"/>
          <w:sz w:val="24"/>
          <w:lang w:val="fr-FR"/>
        </w:rPr>
        <w:t>)</w:t>
      </w:r>
    </w:p>
    <w:p w:rsidR="00CD73F2" w:rsidRDefault="00CD73F2">
      <w:pPr>
        <w:pStyle w:val="CommentText"/>
        <w:rPr>
          <w:lang w:val="fr-FR"/>
        </w:rPr>
      </w:pPr>
    </w:p>
    <w:p w:rsidR="00CD73F2" w:rsidRDefault="00CD73F2">
      <w:pPr>
        <w:rPr>
          <w:lang w:val="fr-FR"/>
        </w:rPr>
      </w:pPr>
    </w:p>
    <w:p w:rsidR="00CD73F2" w:rsidRDefault="00CD73F2">
      <w:pPr>
        <w:pStyle w:val="Heading1"/>
        <w:spacing w:before="0" w:after="0"/>
        <w:ind w:left="720" w:hanging="630"/>
        <w:rPr>
          <w:rFonts w:ascii="Times New Roman" w:hAnsi="Times New Roman"/>
          <w:sz w:val="24"/>
        </w:rPr>
      </w:pPr>
      <w:r>
        <w:rPr>
          <w:rFonts w:ascii="Times New Roman" w:hAnsi="Times New Roman"/>
          <w:sz w:val="24"/>
          <w:lang w:val="fr-FR"/>
        </w:rPr>
        <w:t xml:space="preserve">           </w:t>
      </w:r>
      <w:r>
        <w:rPr>
          <w:rFonts w:ascii="Times New Roman" w:hAnsi="Times New Roman"/>
          <w:sz w:val="24"/>
        </w:rPr>
        <w:t xml:space="preserve">PARAGRAPHS A, B AND C ABOVE AND THE BLANKET FEDERAL 2 YEAR </w:t>
      </w:r>
    </w:p>
    <w:p w:rsidR="00CD73F2" w:rsidRDefault="00CD73F2">
      <w:pPr>
        <w:pStyle w:val="BodyText4"/>
        <w:spacing w:after="0"/>
        <w:ind w:left="720" w:hanging="630"/>
        <w:rPr>
          <w:b/>
          <w:sz w:val="24"/>
        </w:rPr>
      </w:pPr>
      <w:r>
        <w:rPr>
          <w:b/>
          <w:sz w:val="24"/>
        </w:rPr>
        <w:t xml:space="preserve">           RESCISSION PERIOD DISCUSSED BELOW MUST BE UNIFORM IN SIZE AND TYPE (MINIMUM 10 POINT BOLDFACE TYPE), AND DISTINGUISHABLE FROM THE PRINT IN THE BALANCE OF YOUR CONTRACT AND PROMISSORY NOTE.</w:t>
      </w:r>
    </w:p>
    <w:p w:rsidR="00CD73F2" w:rsidRDefault="00CD73F2">
      <w:pPr>
        <w:pStyle w:val="BodyText4"/>
        <w:spacing w:after="0"/>
        <w:ind w:left="720" w:hanging="630"/>
        <w:rPr>
          <w:b/>
          <w:sz w:val="24"/>
        </w:rPr>
      </w:pPr>
    </w:p>
    <w:p w:rsidR="00CD73F2" w:rsidRDefault="00CD73F2">
      <w:pPr>
        <w:pStyle w:val="BodyText3"/>
        <w:spacing w:after="0"/>
        <w:ind w:left="720"/>
        <w:rPr>
          <w:sz w:val="24"/>
        </w:rPr>
      </w:pPr>
      <w:r>
        <w:rPr>
          <w:sz w:val="24"/>
        </w:rPr>
        <w:t>In addition to the above rescission rights, the developer must comply with one of the following conditions in order to avoid a blanket Federal two-year rescission period.</w:t>
      </w:r>
    </w:p>
    <w:p w:rsidR="00CD73F2" w:rsidRDefault="00CD73F2">
      <w:pPr>
        <w:pStyle w:val="BodyText3"/>
        <w:spacing w:after="0"/>
        <w:ind w:left="720"/>
        <w:rPr>
          <w:sz w:val="24"/>
        </w:rPr>
      </w:pPr>
    </w:p>
    <w:p w:rsidR="00CD73F2" w:rsidRDefault="00CD73F2" w:rsidP="001C5E2F">
      <w:pPr>
        <w:pStyle w:val="List3"/>
        <w:rPr>
          <w:sz w:val="24"/>
        </w:rPr>
      </w:pPr>
      <w:r>
        <w:rPr>
          <w:sz w:val="24"/>
        </w:rPr>
        <w:t>D.</w:t>
      </w:r>
      <w:r>
        <w:rPr>
          <w:sz w:val="24"/>
        </w:rPr>
        <w:tab/>
        <w:t>Provide in the contract that Seller will deliver a warranty deed or its  equivalent free and clear of liens and encumbrances to the purchaser within 180 days of the signing of the contract;</w:t>
      </w:r>
    </w:p>
    <w:p w:rsidR="00CD73F2" w:rsidRDefault="00CD73F2">
      <w:pPr>
        <w:ind w:left="1080"/>
        <w:rPr>
          <w:sz w:val="24"/>
        </w:rPr>
      </w:pPr>
    </w:p>
    <w:p w:rsidR="00CD73F2" w:rsidRDefault="00CD73F2">
      <w:pPr>
        <w:pStyle w:val="Heading2"/>
        <w:spacing w:before="0" w:after="0"/>
        <w:ind w:left="1080"/>
        <w:jc w:val="center"/>
        <w:rPr>
          <w:rFonts w:ascii="Times New Roman" w:hAnsi="Times New Roman"/>
          <w:i w:val="0"/>
        </w:rPr>
      </w:pPr>
      <w:r>
        <w:rPr>
          <w:rFonts w:ascii="Times New Roman" w:hAnsi="Times New Roman"/>
          <w:b w:val="0"/>
          <w:i w:val="0"/>
        </w:rPr>
        <w:t>OR,</w:t>
      </w:r>
    </w:p>
    <w:p w:rsidR="00CD73F2" w:rsidRDefault="00CD73F2">
      <w:pPr>
        <w:ind w:left="360"/>
      </w:pPr>
    </w:p>
    <w:p w:rsidR="00CD73F2" w:rsidRDefault="00CD73F2" w:rsidP="001C5E2F">
      <w:pPr>
        <w:pStyle w:val="List3"/>
        <w:rPr>
          <w:sz w:val="24"/>
        </w:rPr>
      </w:pPr>
      <w:r>
        <w:rPr>
          <w:sz w:val="24"/>
        </w:rPr>
        <w:t>E.</w:t>
      </w:r>
      <w:r>
        <w:rPr>
          <w:sz w:val="24"/>
        </w:rPr>
        <w:tab/>
        <w:t xml:space="preserve">If a deed is </w:t>
      </w:r>
      <w:r>
        <w:rPr>
          <w:sz w:val="24"/>
          <w:u w:val="single"/>
        </w:rPr>
        <w:t>not</w:t>
      </w:r>
      <w:r>
        <w:rPr>
          <w:sz w:val="24"/>
        </w:rPr>
        <w:t xml:space="preserve"> delivered within 180 days of the signing of the contract, the contract </w:t>
      </w:r>
      <w:r>
        <w:rPr>
          <w:sz w:val="24"/>
          <w:u w:val="single"/>
        </w:rPr>
        <w:t>must</w:t>
      </w:r>
      <w:r>
        <w:rPr>
          <w:sz w:val="24"/>
        </w:rPr>
        <w:t xml:space="preserve"> contain the following provisions:</w:t>
      </w:r>
    </w:p>
    <w:p w:rsidR="00CD73F2" w:rsidRDefault="00CD73F2">
      <w:pPr>
        <w:ind w:left="720"/>
        <w:rPr>
          <w:sz w:val="24"/>
        </w:rPr>
      </w:pPr>
    </w:p>
    <w:p w:rsidR="00CD73F2" w:rsidRDefault="00CD73F2">
      <w:pPr>
        <w:pStyle w:val="List4"/>
        <w:numPr>
          <w:ilvl w:val="0"/>
          <w:numId w:val="4"/>
        </w:numPr>
        <w:rPr>
          <w:sz w:val="24"/>
        </w:rPr>
      </w:pPr>
      <w:r>
        <w:rPr>
          <w:sz w:val="24"/>
        </w:rPr>
        <w:t>A legally sufficient and recordable lot description; and</w:t>
      </w:r>
    </w:p>
    <w:p w:rsidR="00CD73F2" w:rsidRDefault="00CD73F2">
      <w:pPr>
        <w:pStyle w:val="List4"/>
        <w:numPr>
          <w:ilvl w:val="12"/>
          <w:numId w:val="0"/>
        </w:numPr>
        <w:ind w:left="1440"/>
        <w:rPr>
          <w:sz w:val="24"/>
        </w:rPr>
      </w:pPr>
    </w:p>
    <w:p w:rsidR="00CD73F2" w:rsidRDefault="00CD73F2">
      <w:pPr>
        <w:pStyle w:val="List4"/>
        <w:numPr>
          <w:ilvl w:val="0"/>
          <w:numId w:val="4"/>
        </w:numPr>
        <w:rPr>
          <w:sz w:val="24"/>
        </w:rPr>
      </w:pPr>
      <w:r>
        <w:rPr>
          <w:sz w:val="24"/>
        </w:rPr>
        <w:t xml:space="preserve">A provision that the seller will give the purchaser written notification </w:t>
      </w:r>
    </w:p>
    <w:p w:rsidR="00CD73F2" w:rsidRDefault="00CD73F2">
      <w:pPr>
        <w:pStyle w:val="List4"/>
        <w:ind w:firstLine="0"/>
        <w:rPr>
          <w:sz w:val="24"/>
        </w:rPr>
      </w:pPr>
      <w:r>
        <w:rPr>
          <w:sz w:val="24"/>
        </w:rPr>
        <w:t xml:space="preserve">            of purchaser’s default and the opportunity to have at least 20 days from </w:t>
      </w:r>
    </w:p>
    <w:p w:rsidR="00CD73F2" w:rsidRDefault="00CD73F2">
      <w:pPr>
        <w:pStyle w:val="List4"/>
        <w:ind w:firstLine="0"/>
        <w:rPr>
          <w:sz w:val="24"/>
        </w:rPr>
      </w:pPr>
      <w:r>
        <w:rPr>
          <w:sz w:val="24"/>
        </w:rPr>
        <w:t xml:space="preserve">            the receipt of the notice to correct the default; and</w:t>
      </w:r>
    </w:p>
    <w:p w:rsidR="00CD73F2" w:rsidRDefault="00CD73F2">
      <w:pPr>
        <w:pStyle w:val="ListContinue4"/>
        <w:spacing w:after="0"/>
        <w:ind w:left="2160"/>
        <w:rPr>
          <w:sz w:val="24"/>
        </w:rPr>
      </w:pPr>
    </w:p>
    <w:p w:rsidR="00CD73F2" w:rsidRDefault="00CD73F2">
      <w:pPr>
        <w:pStyle w:val="List4"/>
        <w:numPr>
          <w:ilvl w:val="0"/>
          <w:numId w:val="5"/>
        </w:numPr>
        <w:rPr>
          <w:sz w:val="24"/>
        </w:rPr>
      </w:pPr>
      <w:r>
        <w:rPr>
          <w:sz w:val="24"/>
        </w:rPr>
        <w:t>A provision that, if the purchaser loses rights and interest in the lot</w:t>
      </w:r>
    </w:p>
    <w:p w:rsidR="00CD73F2" w:rsidRDefault="00CD73F2">
      <w:pPr>
        <w:pStyle w:val="BodyText5"/>
        <w:tabs>
          <w:tab w:val="left" w:pos="720"/>
        </w:tabs>
        <w:spacing w:after="0"/>
        <w:ind w:left="2160"/>
        <w:rPr>
          <w:sz w:val="24"/>
        </w:rPr>
      </w:pPr>
      <w:proofErr w:type="gramStart"/>
      <w:r>
        <w:rPr>
          <w:sz w:val="24"/>
        </w:rPr>
        <w:t>because</w:t>
      </w:r>
      <w:proofErr w:type="gramEnd"/>
      <w:r>
        <w:rPr>
          <w:sz w:val="24"/>
        </w:rPr>
        <w:t xml:space="preserve"> of purchaser’s default after 15% of the purchase price has been</w:t>
      </w:r>
    </w:p>
    <w:p w:rsidR="00CD73F2" w:rsidRDefault="00CD73F2">
      <w:pPr>
        <w:pStyle w:val="BodyText5"/>
        <w:tabs>
          <w:tab w:val="left" w:pos="720"/>
        </w:tabs>
        <w:spacing w:after="0"/>
        <w:ind w:left="2160"/>
        <w:rPr>
          <w:sz w:val="24"/>
        </w:rPr>
      </w:pPr>
      <w:proofErr w:type="gramStart"/>
      <w:r>
        <w:rPr>
          <w:sz w:val="24"/>
        </w:rPr>
        <w:t>paid</w:t>
      </w:r>
      <w:proofErr w:type="gramEnd"/>
      <w:r>
        <w:rPr>
          <w:sz w:val="24"/>
        </w:rPr>
        <w:t>, exclusive of interest, the seller shall refund to the purchaser any</w:t>
      </w:r>
    </w:p>
    <w:p w:rsidR="00CD73F2" w:rsidRDefault="00CD73F2">
      <w:pPr>
        <w:pStyle w:val="BodyText5"/>
        <w:tabs>
          <w:tab w:val="left" w:pos="720"/>
        </w:tabs>
        <w:spacing w:after="0"/>
        <w:ind w:left="2160"/>
        <w:rPr>
          <w:sz w:val="24"/>
        </w:rPr>
      </w:pPr>
      <w:proofErr w:type="gramStart"/>
      <w:r>
        <w:rPr>
          <w:sz w:val="24"/>
        </w:rPr>
        <w:t>amount</w:t>
      </w:r>
      <w:proofErr w:type="gramEnd"/>
      <w:r>
        <w:rPr>
          <w:sz w:val="24"/>
        </w:rPr>
        <w:t xml:space="preserve"> which remains from the payments made after subtracting 15%</w:t>
      </w:r>
    </w:p>
    <w:p w:rsidR="00CD73F2" w:rsidRDefault="00CD73F2">
      <w:pPr>
        <w:pStyle w:val="BodyText5"/>
        <w:tabs>
          <w:tab w:val="left" w:pos="720"/>
        </w:tabs>
        <w:spacing w:after="0"/>
        <w:ind w:left="2160"/>
        <w:rPr>
          <w:sz w:val="24"/>
        </w:rPr>
      </w:pPr>
      <w:proofErr w:type="gramStart"/>
      <w:r>
        <w:rPr>
          <w:sz w:val="24"/>
        </w:rPr>
        <w:t>of</w:t>
      </w:r>
      <w:proofErr w:type="gramEnd"/>
      <w:r>
        <w:rPr>
          <w:sz w:val="24"/>
        </w:rPr>
        <w:t xml:space="preserve"> the purchase price, exclusive of the interest, or the amount of the</w:t>
      </w:r>
    </w:p>
    <w:p w:rsidR="00CD73F2" w:rsidRDefault="00CD73F2">
      <w:pPr>
        <w:pStyle w:val="BodyText5"/>
        <w:tabs>
          <w:tab w:val="left" w:pos="720"/>
        </w:tabs>
        <w:spacing w:after="0"/>
        <w:ind w:left="2160"/>
        <w:rPr>
          <w:sz w:val="24"/>
        </w:rPr>
      </w:pPr>
      <w:proofErr w:type="gramStart"/>
      <w:r>
        <w:rPr>
          <w:sz w:val="24"/>
        </w:rPr>
        <w:t>seller’s</w:t>
      </w:r>
      <w:proofErr w:type="gramEnd"/>
      <w:r>
        <w:rPr>
          <w:sz w:val="24"/>
        </w:rPr>
        <w:t xml:space="preserve"> </w:t>
      </w:r>
      <w:r>
        <w:rPr>
          <w:sz w:val="24"/>
          <w:u w:val="single"/>
        </w:rPr>
        <w:t>actual</w:t>
      </w:r>
      <w:r>
        <w:rPr>
          <w:sz w:val="24"/>
        </w:rPr>
        <w:t xml:space="preserve"> damages whichever is the greater.</w:t>
      </w:r>
    </w:p>
    <w:p w:rsidR="00CD73F2" w:rsidRDefault="00CD73F2">
      <w:pPr>
        <w:tabs>
          <w:tab w:val="left" w:pos="720"/>
        </w:tabs>
        <w:ind w:left="720"/>
        <w:jc w:val="both"/>
        <w:rPr>
          <w:sz w:val="24"/>
        </w:rPr>
      </w:pPr>
    </w:p>
    <w:p w:rsidR="00CD73F2" w:rsidRDefault="00CD73F2">
      <w:pPr>
        <w:pStyle w:val="BodyText3"/>
        <w:spacing w:after="0"/>
        <w:ind w:left="720"/>
        <w:rPr>
          <w:sz w:val="24"/>
        </w:rPr>
      </w:pPr>
      <w:r>
        <w:rPr>
          <w:sz w:val="24"/>
        </w:rPr>
        <w:t>If the developer does not deliver a deed within 180 days of the signing of the contract or if the above contract or provisions are not included in the contract, the following or similar language must be used in place of any other Federal rescission language:</w:t>
      </w:r>
    </w:p>
    <w:p w:rsidR="00CD73F2" w:rsidRDefault="00CD73F2">
      <w:pPr>
        <w:pStyle w:val="BodyText3"/>
        <w:spacing w:after="0"/>
        <w:ind w:left="720"/>
        <w:rPr>
          <w:sz w:val="24"/>
        </w:rPr>
      </w:pPr>
    </w:p>
    <w:p w:rsidR="00CD73F2" w:rsidRDefault="00CD73F2">
      <w:pPr>
        <w:pStyle w:val="BodyText3"/>
        <w:spacing w:after="0"/>
        <w:ind w:left="720"/>
        <w:rPr>
          <w:sz w:val="24"/>
        </w:rPr>
      </w:pPr>
      <w:r>
        <w:rPr>
          <w:sz w:val="24"/>
        </w:rPr>
        <w:t>“UNDER FEDERAL LAW YOU MAY CANCEL YOUR CONTRACT OR AGREEMENT OF SALE ANYTIME WITHIN TWO YEARS FROM THE DATE OF SIGNING AND RECEIVE A FULL REFUND OF ALL MONIES PAID.”</w:t>
      </w:r>
    </w:p>
    <w:p w:rsidR="00CD73F2" w:rsidRDefault="00CD73F2">
      <w:pPr>
        <w:pStyle w:val="BodyText3"/>
        <w:spacing w:after="0"/>
        <w:ind w:left="720"/>
        <w:rPr>
          <w:sz w:val="24"/>
        </w:rPr>
      </w:pPr>
    </w:p>
    <w:p w:rsidR="00CD73F2" w:rsidRDefault="00CD73F2">
      <w:pPr>
        <w:pStyle w:val="BodyText3"/>
        <w:spacing w:after="0"/>
        <w:ind w:left="720"/>
        <w:rPr>
          <w:sz w:val="24"/>
        </w:rPr>
      </w:pPr>
      <w:r>
        <w:rPr>
          <w:sz w:val="24"/>
        </w:rPr>
        <w:t>In summary, all contracts or agreements of sale and promissory notes must, at a minimum, contain rescission language noted in A, B, and C above.  However, if the developer does not comply with item D or E (regarding delivery of the deed) above, then a blanket Federal two-year rescission period is available to the purchaser.</w:t>
      </w:r>
    </w:p>
    <w:p w:rsidR="00CD73F2" w:rsidRDefault="00CD73F2">
      <w:pPr>
        <w:pStyle w:val="BodyText3"/>
        <w:spacing w:after="0"/>
        <w:ind w:left="720"/>
        <w:rPr>
          <w:sz w:val="24"/>
        </w:rPr>
      </w:pPr>
    </w:p>
    <w:p w:rsidR="00CD73F2" w:rsidRDefault="00CD73F2">
      <w:pPr>
        <w:pStyle w:val="BodyText3"/>
        <w:spacing w:after="0"/>
        <w:ind w:left="720"/>
        <w:rPr>
          <w:sz w:val="24"/>
        </w:rPr>
      </w:pPr>
    </w:p>
    <w:p w:rsidR="00CD73F2" w:rsidRDefault="00CD73F2">
      <w:pPr>
        <w:pStyle w:val="BodyText3"/>
        <w:spacing w:after="0"/>
        <w:ind w:left="720"/>
        <w:jc w:val="center"/>
        <w:rPr>
          <w:sz w:val="24"/>
        </w:rPr>
      </w:pPr>
      <w:r>
        <w:rPr>
          <w:sz w:val="24"/>
        </w:rPr>
        <w:t>2</w:t>
      </w:r>
    </w:p>
    <w:p w:rsidR="00CD73F2" w:rsidRDefault="00CD73F2">
      <w:pPr>
        <w:pStyle w:val="BodyText3"/>
        <w:spacing w:after="0"/>
        <w:ind w:left="720"/>
        <w:rPr>
          <w:sz w:val="24"/>
          <w:lang w:val="fr-FR"/>
        </w:rPr>
      </w:pPr>
      <w:r>
        <w:rPr>
          <w:sz w:val="24"/>
          <w:lang w:val="fr-FR"/>
        </w:rPr>
        <w:br w:type="page"/>
      </w:r>
    </w:p>
    <w:p w:rsidR="000E5F2B" w:rsidRDefault="000E5F2B" w:rsidP="000E5F2B">
      <w:pPr>
        <w:pStyle w:val="Heading1"/>
        <w:spacing w:before="0" w:after="0"/>
        <w:rPr>
          <w:rFonts w:ascii="Times New Roman" w:hAnsi="Times New Roman"/>
          <w:b w:val="0"/>
          <w:sz w:val="24"/>
          <w:lang w:val="fr-FR"/>
        </w:rPr>
      </w:pPr>
      <w:r>
        <w:rPr>
          <w:rFonts w:ascii="Times New Roman" w:hAnsi="Times New Roman"/>
          <w:b w:val="0"/>
          <w:sz w:val="24"/>
          <w:lang w:val="fr-FR"/>
        </w:rPr>
        <w:lastRenderedPageBreak/>
        <w:t>FORM E (</w:t>
      </w:r>
      <w:proofErr w:type="spellStart"/>
      <w:r>
        <w:rPr>
          <w:rFonts w:ascii="Times New Roman" w:hAnsi="Times New Roman"/>
          <w:b w:val="0"/>
          <w:sz w:val="24"/>
          <w:lang w:val="fr-FR"/>
        </w:rPr>
        <w:t>Supplement</w:t>
      </w:r>
      <w:proofErr w:type="spellEnd"/>
      <w:r>
        <w:rPr>
          <w:rFonts w:ascii="Times New Roman" w:hAnsi="Times New Roman"/>
          <w:b w:val="0"/>
          <w:sz w:val="24"/>
          <w:lang w:val="fr-FR"/>
        </w:rPr>
        <w:t xml:space="preserve"> </w:t>
      </w:r>
      <w:proofErr w:type="spellStart"/>
      <w:r>
        <w:rPr>
          <w:rFonts w:ascii="Times New Roman" w:hAnsi="Times New Roman"/>
          <w:b w:val="0"/>
          <w:sz w:val="24"/>
          <w:lang w:val="fr-FR"/>
        </w:rPr>
        <w:t>continued</w:t>
      </w:r>
      <w:proofErr w:type="spellEnd"/>
      <w:r>
        <w:rPr>
          <w:rFonts w:ascii="Times New Roman" w:hAnsi="Times New Roman"/>
          <w:b w:val="0"/>
          <w:sz w:val="24"/>
          <w:lang w:val="fr-FR"/>
        </w:rPr>
        <w:t>)</w:t>
      </w:r>
    </w:p>
    <w:p w:rsidR="00CD73F2" w:rsidRDefault="00CD73F2">
      <w:pPr>
        <w:pStyle w:val="BodyText3"/>
        <w:spacing w:after="0"/>
        <w:ind w:left="720"/>
        <w:rPr>
          <w:sz w:val="24"/>
          <w:lang w:val="fr-FR"/>
        </w:rPr>
      </w:pPr>
    </w:p>
    <w:p w:rsidR="00CD73F2" w:rsidRDefault="00CD73F2">
      <w:pPr>
        <w:pStyle w:val="BodyText3"/>
        <w:spacing w:after="0"/>
        <w:ind w:left="720"/>
        <w:rPr>
          <w:sz w:val="24"/>
          <w:lang w:val="fr-FR"/>
        </w:rPr>
      </w:pPr>
    </w:p>
    <w:p w:rsidR="00CD73F2" w:rsidRDefault="00CD73F2">
      <w:pPr>
        <w:pStyle w:val="List2"/>
        <w:numPr>
          <w:ilvl w:val="12"/>
          <w:numId w:val="0"/>
        </w:numPr>
        <w:ind w:left="360"/>
        <w:jc w:val="center"/>
        <w:rPr>
          <w:sz w:val="24"/>
          <w:lang w:val="fr-FR"/>
        </w:rPr>
      </w:pPr>
    </w:p>
    <w:p w:rsidR="00CD73F2" w:rsidRPr="000E5F2B" w:rsidRDefault="00CD73F2" w:rsidP="000E5F2B">
      <w:pPr>
        <w:pStyle w:val="List2"/>
        <w:numPr>
          <w:ilvl w:val="0"/>
          <w:numId w:val="6"/>
        </w:numPr>
        <w:rPr>
          <w:sz w:val="24"/>
        </w:rPr>
      </w:pPr>
      <w:r w:rsidRPr="000E5F2B">
        <w:rPr>
          <w:sz w:val="24"/>
          <w:lang w:val="fr-FR"/>
        </w:rPr>
        <w:t xml:space="preserve">  </w:t>
      </w:r>
      <w:r w:rsidRPr="000E5F2B">
        <w:rPr>
          <w:sz w:val="24"/>
        </w:rPr>
        <w:t>Specimens of all Contracts or Agreements to Purchase must include a specific provision that any offering of roads, water, sewer, gas, electric service, or recreational amenities will be provided or completed by the Developer.</w:t>
      </w:r>
    </w:p>
    <w:p w:rsidR="00CD73F2" w:rsidRDefault="00CD73F2">
      <w:pPr>
        <w:pStyle w:val="BodyText3"/>
        <w:spacing w:after="0"/>
        <w:ind w:left="720"/>
        <w:rPr>
          <w:sz w:val="24"/>
        </w:rPr>
      </w:pPr>
    </w:p>
    <w:p w:rsidR="00CD73F2" w:rsidRDefault="00CD73F2">
      <w:pPr>
        <w:pStyle w:val="List2"/>
        <w:numPr>
          <w:ilvl w:val="0"/>
          <w:numId w:val="7"/>
        </w:numPr>
        <w:rPr>
          <w:sz w:val="24"/>
        </w:rPr>
      </w:pPr>
      <w:r>
        <w:rPr>
          <w:sz w:val="24"/>
        </w:rPr>
        <w:t xml:space="preserve">  Fully disclose and explain any costs to the purchaser regarding electric, gas, telephone, </w:t>
      </w:r>
    </w:p>
    <w:p w:rsidR="00CD73F2" w:rsidRDefault="00CD73F2">
      <w:pPr>
        <w:pStyle w:val="BodyText3"/>
        <w:spacing w:after="0"/>
        <w:ind w:left="720"/>
        <w:rPr>
          <w:sz w:val="24"/>
        </w:rPr>
      </w:pPr>
      <w:r>
        <w:rPr>
          <w:sz w:val="24"/>
        </w:rPr>
        <w:t xml:space="preserve">  </w:t>
      </w:r>
      <w:proofErr w:type="gramStart"/>
      <w:r>
        <w:rPr>
          <w:sz w:val="24"/>
        </w:rPr>
        <w:t>septic</w:t>
      </w:r>
      <w:proofErr w:type="gramEnd"/>
      <w:r>
        <w:rPr>
          <w:sz w:val="24"/>
        </w:rPr>
        <w:t xml:space="preserve"> system, central water or sewer, including tap fee, hookup fee, connective charge,</w:t>
      </w:r>
    </w:p>
    <w:p w:rsidR="00CD73F2" w:rsidRDefault="00CD73F2">
      <w:pPr>
        <w:pStyle w:val="BodyText3"/>
        <w:spacing w:after="0"/>
        <w:ind w:left="720"/>
        <w:rPr>
          <w:sz w:val="24"/>
        </w:rPr>
      </w:pPr>
      <w:r>
        <w:rPr>
          <w:sz w:val="24"/>
        </w:rPr>
        <w:t xml:space="preserve">  </w:t>
      </w:r>
      <w:proofErr w:type="gramStart"/>
      <w:r>
        <w:rPr>
          <w:sz w:val="24"/>
        </w:rPr>
        <w:t>or</w:t>
      </w:r>
      <w:proofErr w:type="gramEnd"/>
      <w:r>
        <w:rPr>
          <w:sz w:val="24"/>
        </w:rPr>
        <w:t xml:space="preserve"> installation to lot line charge.</w:t>
      </w:r>
    </w:p>
    <w:p w:rsidR="00CD73F2" w:rsidRDefault="00CD73F2">
      <w:pPr>
        <w:pStyle w:val="BodyText3"/>
        <w:spacing w:after="0"/>
        <w:ind w:left="720"/>
        <w:rPr>
          <w:sz w:val="24"/>
        </w:rPr>
      </w:pPr>
    </w:p>
    <w:p w:rsidR="00CD73F2" w:rsidRDefault="00CD73F2" w:rsidP="005A6C34">
      <w:pPr>
        <w:pStyle w:val="Heading3"/>
        <w:spacing w:before="0" w:after="0"/>
        <w:ind w:left="2160" w:hanging="1200"/>
        <w:rPr>
          <w:b/>
        </w:rPr>
      </w:pPr>
      <w:r>
        <w:rPr>
          <w:rFonts w:ascii="Times New Roman" w:hAnsi="Times New Roman"/>
        </w:rPr>
        <w:t>Note:</w:t>
      </w:r>
      <w:r>
        <w:rPr>
          <w:rFonts w:ascii="Times New Roman" w:hAnsi="Times New Roman"/>
          <w:b/>
        </w:rPr>
        <w:tab/>
      </w:r>
      <w:r w:rsidR="005A6C34" w:rsidRPr="005A6C34">
        <w:rPr>
          <w:rFonts w:ascii="Times New Roman" w:hAnsi="Times New Roman"/>
          <w:b/>
        </w:rPr>
        <w:t>THE CFPB MAY REJECT A CERTIFICATION</w:t>
      </w:r>
      <w:r w:rsidR="005A6C34">
        <w:rPr>
          <w:rFonts w:ascii="Times New Roman" w:hAnsi="Times New Roman"/>
          <w:b/>
        </w:rPr>
        <w:t xml:space="preserve"> </w:t>
      </w:r>
      <w:r w:rsidR="005A6C34" w:rsidRPr="005A6C34">
        <w:rPr>
          <w:rFonts w:ascii="Times New Roman" w:hAnsi="Times New Roman"/>
          <w:b/>
        </w:rPr>
        <w:t xml:space="preserve">FOR </w:t>
      </w:r>
      <w:r w:rsidRPr="005A6C34">
        <w:rPr>
          <w:rFonts w:ascii="Times New Roman" w:hAnsi="Times New Roman"/>
          <w:b/>
        </w:rPr>
        <w:t>FAILURE TO EXPLICIT</w:t>
      </w:r>
      <w:r w:rsidR="005A6C34" w:rsidRPr="005A6C34">
        <w:rPr>
          <w:rFonts w:ascii="Times New Roman" w:hAnsi="Times New Roman"/>
          <w:b/>
        </w:rPr>
        <w:t>LY IDENTIFY THESE COSTS.</w:t>
      </w:r>
      <w:r w:rsidR="005A6C34">
        <w:rPr>
          <w:rFonts w:ascii="Times New Roman" w:hAnsi="Times New Roman"/>
          <w:b/>
        </w:rPr>
        <w:t xml:space="preserve"> </w:t>
      </w:r>
    </w:p>
    <w:p w:rsidR="00CD73F2" w:rsidRDefault="00CD73F2">
      <w:pPr>
        <w:pStyle w:val="BodyText5"/>
        <w:spacing w:after="0"/>
        <w:ind w:left="2160"/>
        <w:rPr>
          <w:b/>
          <w:sz w:val="24"/>
        </w:rPr>
      </w:pPr>
    </w:p>
    <w:p w:rsidR="00CD73F2" w:rsidRDefault="00CD73F2">
      <w:pPr>
        <w:pStyle w:val="BodyText5"/>
        <w:spacing w:after="0"/>
        <w:ind w:left="2160"/>
        <w:rPr>
          <w:b/>
          <w:sz w:val="24"/>
        </w:rPr>
      </w:pPr>
      <w:r>
        <w:rPr>
          <w:b/>
          <w:sz w:val="24"/>
        </w:rPr>
        <w:t xml:space="preserve">FURTHER, </w:t>
      </w:r>
      <w:r w:rsidR="000E5F2B">
        <w:rPr>
          <w:b/>
          <w:sz w:val="24"/>
        </w:rPr>
        <w:t xml:space="preserve">CFPB </w:t>
      </w:r>
      <w:r>
        <w:rPr>
          <w:b/>
          <w:sz w:val="24"/>
        </w:rPr>
        <w:t>REQUIRES AN AMENDMENT OR CORRECTION TO THE CERTIFIED SUBDIVISION DISCLOSURE REPORT WHEN A CHANGE HAS OCCURRED IN THE STATUS OF THE COMPLETION OF THE OFFSITE IMPROVEMENTS AND RECREATIONAL AMENITIES. FOR EXAMPLE, THE EXTENSION OF COMPLETION DATES AND/OR THE COMPLIANCE WITH THE COMPLETION DATES AS REPRESENTED REQUIRES AN AMENDED OR CORRECTED SUBDIVISION DISCLOSURE REPORT.</w:t>
      </w:r>
    </w:p>
    <w:p w:rsidR="00CD73F2" w:rsidRDefault="00CD73F2">
      <w:pPr>
        <w:ind w:left="720"/>
        <w:jc w:val="both"/>
        <w:rPr>
          <w:b/>
          <w:sz w:val="24"/>
        </w:rPr>
      </w:pPr>
    </w:p>
    <w:p w:rsidR="00CD73F2" w:rsidRDefault="00CD73F2">
      <w:pPr>
        <w:ind w:left="720"/>
        <w:jc w:val="both"/>
        <w:rPr>
          <w:b/>
          <w:sz w:val="24"/>
        </w:rPr>
      </w:pPr>
    </w:p>
    <w:p w:rsidR="00CD73F2" w:rsidRDefault="00CD73F2">
      <w:pPr>
        <w:ind w:left="720"/>
        <w:jc w:val="both"/>
        <w:rPr>
          <w:b/>
          <w:sz w:val="24"/>
        </w:rPr>
      </w:pPr>
    </w:p>
    <w:p w:rsidR="00CD73F2" w:rsidRDefault="00CD73F2">
      <w:pPr>
        <w:ind w:left="720"/>
        <w:jc w:val="both"/>
        <w:rPr>
          <w:b/>
          <w:sz w:val="24"/>
        </w:rPr>
      </w:pPr>
    </w:p>
    <w:p w:rsidR="00CD73F2" w:rsidRDefault="00CD73F2">
      <w:pPr>
        <w:ind w:left="720"/>
        <w:jc w:val="both"/>
        <w:rPr>
          <w:b/>
          <w:sz w:val="24"/>
        </w:rPr>
      </w:pPr>
    </w:p>
    <w:p w:rsidR="00CD73F2" w:rsidRDefault="00CD73F2">
      <w:pPr>
        <w:ind w:left="720"/>
        <w:jc w:val="both"/>
        <w:rPr>
          <w:b/>
          <w:sz w:val="24"/>
        </w:rPr>
      </w:pPr>
    </w:p>
    <w:p w:rsidR="00CD73F2" w:rsidRDefault="00CD73F2">
      <w:pPr>
        <w:ind w:left="720"/>
        <w:jc w:val="both"/>
        <w:rPr>
          <w:b/>
          <w:sz w:val="24"/>
        </w:rPr>
      </w:pPr>
    </w:p>
    <w:p w:rsidR="00CD73F2" w:rsidRDefault="00CD73F2">
      <w:pPr>
        <w:ind w:left="720"/>
        <w:jc w:val="both"/>
        <w:rPr>
          <w:b/>
          <w:sz w:val="24"/>
        </w:rPr>
      </w:pPr>
    </w:p>
    <w:p w:rsidR="00CD73F2" w:rsidRDefault="00CD73F2">
      <w:pPr>
        <w:ind w:left="720"/>
        <w:jc w:val="both"/>
        <w:rPr>
          <w:b/>
          <w:sz w:val="24"/>
        </w:rPr>
      </w:pPr>
    </w:p>
    <w:p w:rsidR="00CD73F2" w:rsidRDefault="00CD73F2">
      <w:pPr>
        <w:ind w:left="720"/>
        <w:jc w:val="both"/>
        <w:rPr>
          <w:b/>
          <w:sz w:val="24"/>
        </w:rPr>
      </w:pPr>
    </w:p>
    <w:p w:rsidR="00CD73F2" w:rsidRDefault="00CD73F2">
      <w:pPr>
        <w:ind w:left="720"/>
        <w:jc w:val="both"/>
        <w:rPr>
          <w:b/>
          <w:sz w:val="24"/>
        </w:rPr>
      </w:pPr>
    </w:p>
    <w:p w:rsidR="00CD73F2" w:rsidRDefault="00CD73F2">
      <w:pPr>
        <w:ind w:left="720"/>
        <w:jc w:val="both"/>
        <w:rPr>
          <w:b/>
          <w:sz w:val="24"/>
        </w:rPr>
      </w:pPr>
    </w:p>
    <w:p w:rsidR="00CD73F2" w:rsidRDefault="00CD73F2">
      <w:pPr>
        <w:ind w:left="720"/>
        <w:jc w:val="both"/>
        <w:rPr>
          <w:b/>
          <w:sz w:val="24"/>
        </w:rPr>
      </w:pPr>
    </w:p>
    <w:p w:rsidR="00CD73F2" w:rsidRDefault="00CD73F2">
      <w:pPr>
        <w:ind w:left="720"/>
        <w:jc w:val="both"/>
        <w:rPr>
          <w:b/>
          <w:sz w:val="24"/>
        </w:rPr>
      </w:pPr>
    </w:p>
    <w:p w:rsidR="00CD73F2" w:rsidRDefault="00CD73F2">
      <w:pPr>
        <w:ind w:left="720"/>
        <w:jc w:val="both"/>
        <w:rPr>
          <w:b/>
          <w:sz w:val="24"/>
        </w:rPr>
      </w:pPr>
    </w:p>
    <w:p w:rsidR="00CD73F2" w:rsidRDefault="00CD73F2">
      <w:pPr>
        <w:ind w:left="720"/>
        <w:jc w:val="both"/>
        <w:rPr>
          <w:b/>
          <w:sz w:val="24"/>
        </w:rPr>
      </w:pPr>
    </w:p>
    <w:p w:rsidR="00CD73F2" w:rsidRDefault="00CD73F2">
      <w:pPr>
        <w:ind w:left="720"/>
        <w:jc w:val="both"/>
        <w:rPr>
          <w:b/>
          <w:sz w:val="24"/>
        </w:rPr>
      </w:pPr>
    </w:p>
    <w:p w:rsidR="00CD73F2" w:rsidRDefault="00CD73F2">
      <w:pPr>
        <w:ind w:left="720"/>
        <w:jc w:val="both"/>
        <w:rPr>
          <w:b/>
          <w:sz w:val="24"/>
        </w:rPr>
      </w:pPr>
    </w:p>
    <w:p w:rsidR="00CD73F2" w:rsidRDefault="00CD73F2">
      <w:pPr>
        <w:ind w:left="720"/>
        <w:jc w:val="both"/>
        <w:rPr>
          <w:b/>
          <w:sz w:val="24"/>
        </w:rPr>
      </w:pPr>
    </w:p>
    <w:p w:rsidR="00CD73F2" w:rsidRDefault="00CD73F2">
      <w:pPr>
        <w:ind w:left="720"/>
        <w:jc w:val="both"/>
        <w:rPr>
          <w:b/>
          <w:sz w:val="24"/>
        </w:rPr>
      </w:pPr>
    </w:p>
    <w:p w:rsidR="00CD73F2" w:rsidRDefault="00CD73F2">
      <w:pPr>
        <w:ind w:left="720"/>
        <w:jc w:val="both"/>
        <w:rPr>
          <w:b/>
          <w:sz w:val="24"/>
        </w:rPr>
      </w:pPr>
    </w:p>
    <w:p w:rsidR="00CD73F2" w:rsidRDefault="00CD73F2">
      <w:pPr>
        <w:pStyle w:val="Heading5"/>
        <w:spacing w:before="0" w:after="0"/>
        <w:ind w:left="720"/>
        <w:jc w:val="center"/>
        <w:rPr>
          <w:rFonts w:ascii="Times New Roman" w:hAnsi="Times New Roman"/>
          <w:b/>
          <w:sz w:val="24"/>
        </w:rPr>
      </w:pPr>
    </w:p>
    <w:p w:rsidR="00CD73F2" w:rsidRDefault="00CD73F2">
      <w:pPr>
        <w:pStyle w:val="Heading5"/>
        <w:spacing w:before="0" w:after="0"/>
        <w:ind w:left="720"/>
        <w:jc w:val="center"/>
        <w:rPr>
          <w:rFonts w:ascii="Times New Roman" w:hAnsi="Times New Roman"/>
          <w:b/>
          <w:sz w:val="24"/>
        </w:rPr>
      </w:pPr>
    </w:p>
    <w:p w:rsidR="00CD73F2" w:rsidRDefault="00CD73F2">
      <w:pPr>
        <w:pStyle w:val="Heading5"/>
        <w:spacing w:before="0" w:after="0"/>
        <w:ind w:left="720"/>
        <w:jc w:val="center"/>
        <w:rPr>
          <w:rFonts w:ascii="Times New Roman" w:hAnsi="Times New Roman"/>
          <w:b/>
          <w:sz w:val="24"/>
        </w:rPr>
      </w:pPr>
    </w:p>
    <w:p w:rsidR="00CD73F2" w:rsidRDefault="00CD73F2">
      <w:pPr>
        <w:pStyle w:val="Heading5"/>
        <w:spacing w:before="0" w:after="0"/>
        <w:ind w:left="720"/>
        <w:jc w:val="center"/>
        <w:rPr>
          <w:rFonts w:ascii="Times New Roman" w:hAnsi="Times New Roman"/>
          <w:b/>
          <w:sz w:val="24"/>
        </w:rPr>
      </w:pPr>
      <w:r>
        <w:rPr>
          <w:rFonts w:ascii="Times New Roman" w:hAnsi="Times New Roman"/>
          <w:sz w:val="24"/>
        </w:rPr>
        <w:t>3</w:t>
      </w:r>
    </w:p>
    <w:p w:rsidR="00CD73F2" w:rsidRDefault="00CD73F2">
      <w:pPr>
        <w:pStyle w:val="Heading5"/>
        <w:spacing w:before="0" w:after="0"/>
        <w:ind w:left="720"/>
        <w:rPr>
          <w:rFonts w:ascii="Times New Roman" w:hAnsi="Times New Roman"/>
          <w:sz w:val="24"/>
        </w:rPr>
      </w:pPr>
    </w:p>
    <w:p w:rsidR="000E5F2B" w:rsidRPr="000E5F2B" w:rsidRDefault="000E5F2B" w:rsidP="000E5F2B"/>
    <w:p w:rsidR="00CD73F2" w:rsidRDefault="00CD73F2">
      <w:pPr>
        <w:pStyle w:val="Heading5"/>
        <w:spacing w:before="0" w:after="0"/>
        <w:ind w:left="720"/>
        <w:rPr>
          <w:rFonts w:ascii="Times New Roman" w:hAnsi="Times New Roman"/>
          <w:b/>
          <w:sz w:val="24"/>
        </w:rPr>
      </w:pPr>
      <w:r>
        <w:rPr>
          <w:rFonts w:ascii="Times New Roman" w:hAnsi="Times New Roman"/>
          <w:sz w:val="24"/>
        </w:rPr>
        <w:lastRenderedPageBreak/>
        <w:t>Attachment A</w:t>
      </w:r>
    </w:p>
    <w:p w:rsidR="00CD73F2" w:rsidRDefault="00CD73F2">
      <w:pPr>
        <w:pStyle w:val="Heading5"/>
        <w:spacing w:before="0" w:after="0"/>
        <w:ind w:left="720"/>
        <w:jc w:val="center"/>
        <w:rPr>
          <w:rFonts w:ascii="Times New Roman" w:hAnsi="Times New Roman"/>
          <w:b/>
          <w:sz w:val="24"/>
        </w:rPr>
      </w:pPr>
    </w:p>
    <w:p w:rsidR="00CD73F2" w:rsidRDefault="00CD73F2">
      <w:pPr>
        <w:pStyle w:val="Heading5"/>
        <w:spacing w:before="0" w:after="0"/>
        <w:ind w:left="720"/>
        <w:jc w:val="center"/>
        <w:rPr>
          <w:rFonts w:ascii="Times New Roman" w:hAnsi="Times New Roman"/>
          <w:b/>
          <w:sz w:val="24"/>
        </w:rPr>
      </w:pPr>
    </w:p>
    <w:p w:rsidR="00CD73F2" w:rsidRDefault="00CD73F2">
      <w:pPr>
        <w:pStyle w:val="Heading5"/>
        <w:spacing w:before="0" w:after="0"/>
        <w:ind w:left="720"/>
        <w:jc w:val="center"/>
        <w:rPr>
          <w:rFonts w:ascii="Times New Roman" w:hAnsi="Times New Roman"/>
          <w:b/>
          <w:sz w:val="24"/>
        </w:rPr>
      </w:pPr>
    </w:p>
    <w:p w:rsidR="00CD73F2" w:rsidRDefault="00CD73F2">
      <w:pPr>
        <w:pStyle w:val="Heading5"/>
        <w:spacing w:before="0" w:after="0"/>
        <w:ind w:left="720"/>
        <w:jc w:val="center"/>
        <w:rPr>
          <w:rFonts w:ascii="Times New Roman" w:hAnsi="Times New Roman"/>
          <w:b/>
          <w:sz w:val="24"/>
        </w:rPr>
      </w:pPr>
      <w:r>
        <w:rPr>
          <w:rFonts w:ascii="Times New Roman" w:hAnsi="Times New Roman"/>
          <w:b/>
          <w:sz w:val="24"/>
        </w:rPr>
        <w:t xml:space="preserve">FEDERAL </w:t>
      </w:r>
      <w:r w:rsidR="000E5F2B">
        <w:rPr>
          <w:rFonts w:ascii="Times New Roman" w:hAnsi="Times New Roman"/>
          <w:b/>
          <w:sz w:val="24"/>
        </w:rPr>
        <w:t>F</w:t>
      </w:r>
      <w:r>
        <w:rPr>
          <w:rFonts w:ascii="Times New Roman" w:hAnsi="Times New Roman"/>
          <w:b/>
          <w:sz w:val="24"/>
        </w:rPr>
        <w:t>ACT SHEET</w:t>
      </w:r>
    </w:p>
    <w:p w:rsidR="00CD73F2" w:rsidRDefault="00CD73F2">
      <w:pPr>
        <w:ind w:left="720"/>
        <w:jc w:val="center"/>
        <w:rPr>
          <w:b/>
          <w:sz w:val="24"/>
        </w:rPr>
      </w:pPr>
    </w:p>
    <w:p w:rsidR="00CD73F2" w:rsidRDefault="00CD73F2">
      <w:pPr>
        <w:ind w:left="720"/>
        <w:jc w:val="center"/>
        <w:rPr>
          <w:sz w:val="24"/>
        </w:rPr>
      </w:pPr>
    </w:p>
    <w:p w:rsidR="00CD73F2" w:rsidRDefault="00CD73F2">
      <w:pPr>
        <w:pStyle w:val="BodyText"/>
        <w:spacing w:after="0"/>
        <w:ind w:left="720"/>
        <w:rPr>
          <w:sz w:val="24"/>
        </w:rPr>
      </w:pPr>
      <w:r>
        <w:rPr>
          <w:sz w:val="24"/>
        </w:rPr>
        <w:t>Subdivision Name:</w:t>
      </w:r>
    </w:p>
    <w:p w:rsidR="00CD73F2" w:rsidRDefault="00CD73F2">
      <w:pPr>
        <w:pStyle w:val="BodyText"/>
        <w:spacing w:after="0"/>
        <w:ind w:left="720"/>
        <w:rPr>
          <w:sz w:val="24"/>
        </w:rPr>
      </w:pPr>
    </w:p>
    <w:p w:rsidR="00CD73F2" w:rsidRDefault="00CD73F2">
      <w:pPr>
        <w:pStyle w:val="BodyText"/>
        <w:spacing w:after="0"/>
        <w:ind w:left="720"/>
        <w:rPr>
          <w:sz w:val="24"/>
        </w:rPr>
      </w:pPr>
      <w:r>
        <w:rPr>
          <w:sz w:val="24"/>
        </w:rPr>
        <w:t>Developer’s Name, Address and Telephone Number:</w:t>
      </w:r>
    </w:p>
    <w:p w:rsidR="00CD73F2" w:rsidRDefault="00CD73F2">
      <w:pPr>
        <w:pStyle w:val="BodyText"/>
        <w:spacing w:after="0"/>
        <w:ind w:left="720"/>
        <w:rPr>
          <w:sz w:val="24"/>
        </w:rPr>
      </w:pPr>
    </w:p>
    <w:p w:rsidR="00CD73F2" w:rsidRDefault="00DE551D">
      <w:pPr>
        <w:ind w:left="720"/>
        <w:rPr>
          <w:sz w:val="24"/>
        </w:rPr>
      </w:pPr>
      <w:r w:rsidRPr="00DE551D">
        <w:rPr>
          <w:sz w:val="24"/>
        </w:rPr>
        <w:t xml:space="preserve">Developer’s </w:t>
      </w:r>
      <w:r>
        <w:rPr>
          <w:sz w:val="24"/>
        </w:rPr>
        <w:t>E-Mail Address:</w:t>
      </w:r>
    </w:p>
    <w:p w:rsidR="00DE551D" w:rsidRDefault="00DE551D">
      <w:pPr>
        <w:ind w:left="720"/>
        <w:rPr>
          <w:sz w:val="24"/>
        </w:rPr>
      </w:pPr>
    </w:p>
    <w:p w:rsidR="00CD73F2" w:rsidRDefault="00CD73F2">
      <w:pPr>
        <w:pStyle w:val="BodyText"/>
        <w:spacing w:after="0"/>
        <w:ind w:left="720"/>
        <w:rPr>
          <w:sz w:val="24"/>
        </w:rPr>
      </w:pPr>
      <w:r>
        <w:rPr>
          <w:sz w:val="24"/>
        </w:rPr>
        <w:t>Agent’s Name, Address and Telephone Number:</w:t>
      </w:r>
    </w:p>
    <w:p w:rsidR="00CD73F2" w:rsidRDefault="00CD73F2">
      <w:pPr>
        <w:pStyle w:val="BodyText"/>
        <w:spacing w:after="0"/>
        <w:ind w:left="720"/>
        <w:rPr>
          <w:sz w:val="24"/>
        </w:rPr>
      </w:pPr>
    </w:p>
    <w:p w:rsidR="00DE551D" w:rsidRDefault="00DE551D" w:rsidP="00DE551D">
      <w:pPr>
        <w:ind w:left="720"/>
        <w:rPr>
          <w:sz w:val="24"/>
        </w:rPr>
      </w:pPr>
      <w:r>
        <w:rPr>
          <w:sz w:val="24"/>
        </w:rPr>
        <w:t>Agent</w:t>
      </w:r>
      <w:r w:rsidRPr="00DE551D">
        <w:rPr>
          <w:sz w:val="24"/>
        </w:rPr>
        <w:t xml:space="preserve">’s </w:t>
      </w:r>
      <w:r>
        <w:rPr>
          <w:sz w:val="24"/>
        </w:rPr>
        <w:t>E-Mail Address:</w:t>
      </w:r>
    </w:p>
    <w:p w:rsidR="00CD73F2" w:rsidRDefault="00CD73F2">
      <w:pPr>
        <w:ind w:left="720"/>
        <w:rPr>
          <w:sz w:val="24"/>
        </w:rPr>
      </w:pPr>
    </w:p>
    <w:p w:rsidR="00CD73F2" w:rsidRDefault="00CD73F2">
      <w:pPr>
        <w:pStyle w:val="BodyText"/>
        <w:spacing w:after="0"/>
        <w:ind w:left="720"/>
        <w:rPr>
          <w:sz w:val="24"/>
        </w:rPr>
      </w:pPr>
      <w:r>
        <w:rPr>
          <w:sz w:val="24"/>
        </w:rPr>
        <w:t>Name of State in which Developer (legal entity) is organized:</w:t>
      </w:r>
    </w:p>
    <w:p w:rsidR="00CD73F2" w:rsidRDefault="00CD73F2">
      <w:pPr>
        <w:pStyle w:val="BodyText"/>
        <w:spacing w:after="0"/>
        <w:ind w:left="720"/>
        <w:rPr>
          <w:sz w:val="24"/>
        </w:rPr>
      </w:pPr>
    </w:p>
    <w:p w:rsidR="00CD73F2" w:rsidRDefault="00CD73F2">
      <w:pPr>
        <w:pStyle w:val="BodyText"/>
        <w:spacing w:after="0"/>
        <w:ind w:left="720"/>
        <w:rPr>
          <w:sz w:val="24"/>
        </w:rPr>
      </w:pPr>
      <w:r>
        <w:rPr>
          <w:sz w:val="24"/>
        </w:rPr>
        <w:t>Address of Developer’s (Legal Entity’s) Principal Office or Place of Business:</w:t>
      </w:r>
    </w:p>
    <w:p w:rsidR="00CD73F2" w:rsidRDefault="00CD73F2">
      <w:pPr>
        <w:ind w:left="720"/>
        <w:rPr>
          <w:sz w:val="24"/>
        </w:rPr>
      </w:pPr>
    </w:p>
    <w:p w:rsidR="00CD73F2" w:rsidRDefault="00CD73F2">
      <w:pPr>
        <w:pStyle w:val="BodyText"/>
        <w:spacing w:after="0"/>
        <w:ind w:left="720"/>
        <w:rPr>
          <w:sz w:val="24"/>
        </w:rPr>
      </w:pPr>
      <w:r>
        <w:rPr>
          <w:sz w:val="24"/>
        </w:rPr>
        <w:t>Identify the Type of Legal Entity:</w:t>
      </w:r>
    </w:p>
    <w:p w:rsidR="00CD73F2" w:rsidRDefault="00CD73F2">
      <w:pPr>
        <w:pStyle w:val="BodyText"/>
        <w:spacing w:after="0"/>
        <w:ind w:left="720"/>
        <w:rPr>
          <w:sz w:val="24"/>
        </w:rPr>
      </w:pPr>
    </w:p>
    <w:p w:rsidR="00CD73F2" w:rsidRDefault="00CD73F2">
      <w:pPr>
        <w:pStyle w:val="BodyText"/>
        <w:spacing w:after="0"/>
        <w:ind w:left="720"/>
        <w:rPr>
          <w:sz w:val="24"/>
        </w:rPr>
      </w:pPr>
      <w:r>
        <w:rPr>
          <w:sz w:val="24"/>
        </w:rPr>
        <w:t>Number of Lots in Offering:</w:t>
      </w:r>
    </w:p>
    <w:p w:rsidR="00CD73F2" w:rsidRDefault="00CD73F2">
      <w:pPr>
        <w:pStyle w:val="BodyText"/>
        <w:spacing w:after="0"/>
        <w:ind w:left="720"/>
        <w:rPr>
          <w:sz w:val="24"/>
        </w:rPr>
      </w:pPr>
    </w:p>
    <w:p w:rsidR="00CD73F2" w:rsidRDefault="00CD73F2">
      <w:pPr>
        <w:pStyle w:val="BodyText"/>
        <w:spacing w:after="0"/>
        <w:ind w:left="720"/>
        <w:rPr>
          <w:sz w:val="24"/>
        </w:rPr>
      </w:pPr>
      <w:r>
        <w:rPr>
          <w:sz w:val="24"/>
        </w:rPr>
        <w:t>Approximate No. of Acres in Offering:</w:t>
      </w:r>
    </w:p>
    <w:p w:rsidR="00CD73F2" w:rsidRDefault="00CD73F2">
      <w:pPr>
        <w:pStyle w:val="BodyText"/>
        <w:spacing w:after="0"/>
        <w:ind w:left="720"/>
        <w:rPr>
          <w:sz w:val="24"/>
        </w:rPr>
      </w:pPr>
    </w:p>
    <w:p w:rsidR="00CD73F2" w:rsidRDefault="00CD73F2">
      <w:pPr>
        <w:pStyle w:val="BodyText"/>
        <w:spacing w:after="0"/>
        <w:ind w:left="720"/>
        <w:rPr>
          <w:sz w:val="24"/>
        </w:rPr>
      </w:pPr>
      <w:r>
        <w:rPr>
          <w:sz w:val="24"/>
        </w:rPr>
        <w:t>Type of Filing (i.e., Initial, Amendment or Consolidation to an existing filing):</w:t>
      </w:r>
    </w:p>
    <w:p w:rsidR="00CD73F2" w:rsidRDefault="00CD73F2">
      <w:pPr>
        <w:pStyle w:val="BodyText"/>
        <w:spacing w:after="0"/>
        <w:ind w:left="720"/>
        <w:rPr>
          <w:sz w:val="24"/>
        </w:rPr>
      </w:pPr>
    </w:p>
    <w:p w:rsidR="00CD73F2" w:rsidRDefault="00CD73F2">
      <w:pPr>
        <w:pStyle w:val="List"/>
        <w:ind w:left="720" w:firstLine="0"/>
        <w:rPr>
          <w:sz w:val="24"/>
        </w:rPr>
      </w:pPr>
      <w:r>
        <w:rPr>
          <w:sz w:val="24"/>
        </w:rPr>
        <w:t>If a Federal filing has been made in the subdivision, state the present registration</w:t>
      </w:r>
    </w:p>
    <w:p w:rsidR="00CD73F2" w:rsidRDefault="00CD73F2">
      <w:pPr>
        <w:pStyle w:val="List"/>
        <w:ind w:left="720" w:firstLine="0"/>
        <w:rPr>
          <w:sz w:val="24"/>
        </w:rPr>
      </w:pPr>
      <w:r>
        <w:rPr>
          <w:sz w:val="24"/>
        </w:rPr>
        <w:t>(</w:t>
      </w:r>
      <w:r w:rsidR="000E5F2B">
        <w:rPr>
          <w:sz w:val="24"/>
        </w:rPr>
        <w:t>ILSRP</w:t>
      </w:r>
      <w:r>
        <w:rPr>
          <w:sz w:val="24"/>
        </w:rPr>
        <w:t>) Number:</w:t>
      </w:r>
    </w:p>
    <w:p w:rsidR="00CD73F2" w:rsidRDefault="00CD73F2">
      <w:pPr>
        <w:ind w:left="720"/>
        <w:rPr>
          <w:sz w:val="24"/>
        </w:rPr>
      </w:pPr>
    </w:p>
    <w:p w:rsidR="00CD73F2" w:rsidRDefault="00CD73F2">
      <w:pPr>
        <w:pStyle w:val="BodyText"/>
        <w:spacing w:after="0"/>
        <w:ind w:left="720"/>
        <w:rPr>
          <w:sz w:val="24"/>
        </w:rPr>
      </w:pPr>
      <w:r>
        <w:rPr>
          <w:sz w:val="24"/>
        </w:rPr>
        <w:t>List the utilities and facilities (roads, water, sewer, electricity, telephone, recreational</w:t>
      </w:r>
      <w:r w:rsidR="000E5F2B">
        <w:rPr>
          <w:sz w:val="24"/>
        </w:rPr>
        <w:t xml:space="preserve"> </w:t>
      </w:r>
      <w:r>
        <w:rPr>
          <w:sz w:val="24"/>
        </w:rPr>
        <w:t>facilities) that the developer is proposing to complete in the subdivision and their complete dates if they have not been disclosed in the property report:</w:t>
      </w:r>
    </w:p>
    <w:p w:rsidR="00CD73F2" w:rsidRDefault="00CD73F2">
      <w:pPr>
        <w:ind w:left="720"/>
        <w:rPr>
          <w:sz w:val="24"/>
        </w:rPr>
      </w:pPr>
    </w:p>
    <w:p w:rsidR="00CD73F2" w:rsidRDefault="00CD73F2">
      <w:pPr>
        <w:ind w:left="720"/>
        <w:rPr>
          <w:sz w:val="24"/>
        </w:rPr>
      </w:pPr>
    </w:p>
    <w:p w:rsidR="00CD73F2" w:rsidRDefault="00CD73F2">
      <w:pPr>
        <w:ind w:left="720"/>
        <w:rPr>
          <w:sz w:val="24"/>
        </w:rPr>
      </w:pPr>
    </w:p>
    <w:p w:rsidR="00CD73F2" w:rsidRDefault="00CD73F2">
      <w:pPr>
        <w:ind w:left="720"/>
        <w:rPr>
          <w:sz w:val="24"/>
        </w:rPr>
      </w:pPr>
    </w:p>
    <w:p w:rsidR="00CD73F2" w:rsidRDefault="00CD73F2">
      <w:pPr>
        <w:pStyle w:val="BodyText"/>
        <w:spacing w:after="0"/>
        <w:ind w:left="720"/>
        <w:rPr>
          <w:sz w:val="24"/>
        </w:rPr>
      </w:pPr>
    </w:p>
    <w:p w:rsidR="00CD73F2" w:rsidRDefault="00CD73F2">
      <w:pPr>
        <w:pStyle w:val="BodyText"/>
        <w:spacing w:after="0"/>
        <w:ind w:left="720"/>
        <w:rPr>
          <w:sz w:val="24"/>
        </w:rPr>
      </w:pPr>
      <w:r>
        <w:rPr>
          <w:sz w:val="24"/>
        </w:rPr>
        <w:t>List Names and Addresses of Officers and Directors, if other than a sole proprietorship:</w:t>
      </w:r>
    </w:p>
    <w:p w:rsidR="00CD73F2" w:rsidRDefault="00CD73F2">
      <w:pPr>
        <w:pStyle w:val="BodyText"/>
        <w:spacing w:after="0"/>
        <w:ind w:left="720"/>
        <w:rPr>
          <w:sz w:val="24"/>
        </w:rPr>
      </w:pPr>
    </w:p>
    <w:p w:rsidR="00CD73F2" w:rsidRDefault="00CD73F2">
      <w:pPr>
        <w:pStyle w:val="BodyText"/>
        <w:spacing w:after="0"/>
        <w:ind w:left="720"/>
        <w:rPr>
          <w:sz w:val="24"/>
        </w:rPr>
      </w:pPr>
    </w:p>
    <w:p w:rsidR="00CD73F2" w:rsidRDefault="00CD73F2">
      <w:pPr>
        <w:pStyle w:val="BodyText"/>
        <w:spacing w:after="0"/>
        <w:ind w:left="720"/>
        <w:rPr>
          <w:sz w:val="24"/>
        </w:rPr>
      </w:pPr>
    </w:p>
    <w:p w:rsidR="00CD73F2" w:rsidRDefault="00CD73F2">
      <w:pPr>
        <w:pStyle w:val="BodyText"/>
        <w:spacing w:after="0"/>
        <w:ind w:left="720"/>
        <w:rPr>
          <w:sz w:val="24"/>
        </w:rPr>
      </w:pPr>
    </w:p>
    <w:p w:rsidR="00CD73F2" w:rsidRDefault="00CD73F2">
      <w:pPr>
        <w:rPr>
          <w:sz w:val="24"/>
        </w:rPr>
      </w:pPr>
    </w:p>
    <w:p w:rsidR="00CD73F2" w:rsidRDefault="00CD73F2">
      <w:pPr>
        <w:jc w:val="center"/>
        <w:rPr>
          <w:b/>
          <w:sz w:val="24"/>
        </w:rPr>
      </w:pPr>
    </w:p>
    <w:p w:rsidR="000E5F2B" w:rsidRDefault="000E5F2B">
      <w:pPr>
        <w:jc w:val="center"/>
        <w:rPr>
          <w:b/>
          <w:sz w:val="24"/>
        </w:rPr>
      </w:pPr>
    </w:p>
    <w:p w:rsidR="00CD73F2" w:rsidRDefault="00CD73F2">
      <w:pPr>
        <w:jc w:val="center"/>
        <w:rPr>
          <w:b/>
          <w:sz w:val="24"/>
        </w:rPr>
      </w:pPr>
    </w:p>
    <w:p w:rsidR="00CD73F2" w:rsidRDefault="00CD73F2">
      <w:pPr>
        <w:rPr>
          <w:sz w:val="24"/>
        </w:rPr>
      </w:pPr>
    </w:p>
    <w:p w:rsidR="00CD73F2" w:rsidRDefault="00CD73F2">
      <w:pPr>
        <w:rPr>
          <w:b/>
          <w:sz w:val="24"/>
        </w:rPr>
      </w:pPr>
      <w:r>
        <w:rPr>
          <w:sz w:val="24"/>
        </w:rPr>
        <w:lastRenderedPageBreak/>
        <w:t>Attachment B</w:t>
      </w:r>
    </w:p>
    <w:p w:rsidR="00CD73F2" w:rsidRDefault="00CD73F2">
      <w:pPr>
        <w:jc w:val="center"/>
        <w:rPr>
          <w:b/>
          <w:sz w:val="24"/>
        </w:rPr>
      </w:pPr>
    </w:p>
    <w:p w:rsidR="00CD73F2" w:rsidRDefault="000E5F2B">
      <w:pPr>
        <w:jc w:val="center"/>
        <w:rPr>
          <w:sz w:val="24"/>
        </w:rPr>
      </w:pPr>
      <w:r>
        <w:rPr>
          <w:sz w:val="24"/>
        </w:rPr>
        <w:t>CONSUMER FINANCIAL PROTECTION BUREAU</w:t>
      </w:r>
    </w:p>
    <w:p w:rsidR="000E5F2B" w:rsidRDefault="000E5F2B">
      <w:pPr>
        <w:jc w:val="center"/>
        <w:rPr>
          <w:sz w:val="24"/>
        </w:rPr>
      </w:pPr>
      <w:r>
        <w:rPr>
          <w:sz w:val="24"/>
        </w:rPr>
        <w:t>1700 G Street NW</w:t>
      </w:r>
    </w:p>
    <w:p w:rsidR="000E5F2B" w:rsidRDefault="000E5F2B">
      <w:pPr>
        <w:jc w:val="center"/>
        <w:rPr>
          <w:sz w:val="24"/>
        </w:rPr>
      </w:pPr>
      <w:r>
        <w:rPr>
          <w:sz w:val="24"/>
        </w:rPr>
        <w:t>Washington DC 20552</w:t>
      </w:r>
    </w:p>
    <w:p w:rsidR="000E5F2B" w:rsidRDefault="000E5F2B">
      <w:pPr>
        <w:jc w:val="center"/>
        <w:rPr>
          <w:sz w:val="24"/>
        </w:rPr>
      </w:pPr>
    </w:p>
    <w:p w:rsidR="000E5F2B" w:rsidRDefault="000E5F2B">
      <w:pPr>
        <w:jc w:val="center"/>
        <w:rPr>
          <w:sz w:val="24"/>
        </w:rPr>
      </w:pPr>
    </w:p>
    <w:p w:rsidR="000E5F2B" w:rsidRDefault="000E5F2B" w:rsidP="000E5F2B">
      <w:pPr>
        <w:rPr>
          <w:color w:val="000000"/>
          <w:sz w:val="24"/>
          <w:szCs w:val="24"/>
        </w:rPr>
      </w:pPr>
      <w:r>
        <w:rPr>
          <w:color w:val="000000"/>
          <w:sz w:val="24"/>
          <w:szCs w:val="24"/>
        </w:rPr>
        <w:t>Office of Supervision Examinations</w:t>
      </w:r>
    </w:p>
    <w:p w:rsidR="000E5F2B" w:rsidRDefault="000E5F2B" w:rsidP="008F5ED4">
      <w:pPr>
        <w:rPr>
          <w:sz w:val="24"/>
          <w:szCs w:val="24"/>
        </w:rPr>
      </w:pPr>
      <w:r>
        <w:rPr>
          <w:sz w:val="24"/>
          <w:szCs w:val="24"/>
        </w:rPr>
        <w:t>Interstate Land Sales Registration Program (ILSRP)</w:t>
      </w:r>
      <w:r w:rsidR="008F5ED4">
        <w:rPr>
          <w:sz w:val="24"/>
          <w:szCs w:val="24"/>
        </w:rPr>
        <w:t xml:space="preserve"> </w:t>
      </w:r>
      <w:r>
        <w:rPr>
          <w:sz w:val="24"/>
          <w:szCs w:val="24"/>
        </w:rPr>
        <w:tab/>
        <w:t>(202)-435-7800</w:t>
      </w:r>
    </w:p>
    <w:p w:rsidR="000E5F2B" w:rsidRDefault="000E5F2B" w:rsidP="000E5F2B">
      <w:pPr>
        <w:rPr>
          <w:sz w:val="24"/>
          <w:szCs w:val="24"/>
        </w:rPr>
      </w:pPr>
      <w:r>
        <w:rPr>
          <w:sz w:val="24"/>
          <w:szCs w:val="24"/>
        </w:rPr>
        <w:t xml:space="preserve">E-Mail: </w:t>
      </w:r>
      <w:hyperlink r:id="rId9" w:history="1">
        <w:r>
          <w:rPr>
            <w:rStyle w:val="Hyperlink"/>
            <w:sz w:val="24"/>
            <w:szCs w:val="24"/>
          </w:rPr>
          <w:t>CFPB_ILS_Subdivision_Contacts@cfpb.gov</w:t>
        </w:r>
      </w:hyperlink>
    </w:p>
    <w:p w:rsidR="00CD73F2" w:rsidRDefault="00CD73F2">
      <w:pPr>
        <w:rPr>
          <w:sz w:val="24"/>
        </w:rPr>
      </w:pPr>
    </w:p>
    <w:p w:rsidR="000E5F2B" w:rsidRDefault="000E5F2B">
      <w:pPr>
        <w:rPr>
          <w:sz w:val="24"/>
        </w:rPr>
      </w:pPr>
      <w:r>
        <w:rPr>
          <w:sz w:val="24"/>
        </w:rPr>
        <w:t>Team Lead: Dennis J. Weipert</w:t>
      </w:r>
      <w:r>
        <w:rPr>
          <w:sz w:val="24"/>
        </w:rPr>
        <w:tab/>
      </w:r>
      <w:r>
        <w:rPr>
          <w:sz w:val="24"/>
        </w:rPr>
        <w:tab/>
      </w:r>
      <w:r>
        <w:rPr>
          <w:sz w:val="24"/>
        </w:rPr>
        <w:tab/>
      </w:r>
      <w:r>
        <w:rPr>
          <w:sz w:val="24"/>
        </w:rPr>
        <w:tab/>
        <w:t>(202)-435-7567</w:t>
      </w:r>
    </w:p>
    <w:p w:rsidR="00CD73F2" w:rsidRDefault="00CD73F2">
      <w:pPr>
        <w:rPr>
          <w:sz w:val="24"/>
        </w:rPr>
      </w:pPr>
    </w:p>
    <w:p w:rsidR="000E5F2B" w:rsidRDefault="000E5F2B">
      <w:pPr>
        <w:rPr>
          <w:sz w:val="24"/>
        </w:rPr>
      </w:pPr>
      <w:r>
        <w:rPr>
          <w:sz w:val="24"/>
        </w:rPr>
        <w:t>Examiner:    William J. Thomas</w:t>
      </w:r>
      <w:r>
        <w:rPr>
          <w:sz w:val="24"/>
        </w:rPr>
        <w:tab/>
      </w:r>
      <w:r>
        <w:rPr>
          <w:sz w:val="24"/>
        </w:rPr>
        <w:tab/>
      </w:r>
      <w:r>
        <w:rPr>
          <w:sz w:val="24"/>
        </w:rPr>
        <w:tab/>
      </w:r>
      <w:r>
        <w:rPr>
          <w:sz w:val="24"/>
        </w:rPr>
        <w:tab/>
        <w:t>(202)-435-7736</w:t>
      </w:r>
    </w:p>
    <w:p w:rsidR="000E5F2B" w:rsidRDefault="000E5F2B" w:rsidP="00DE551D"/>
    <w:p w:rsidR="00DE551D" w:rsidRDefault="00DE551D" w:rsidP="00DE551D">
      <w:pPr>
        <w:rPr>
          <w:sz w:val="24"/>
          <w:szCs w:val="24"/>
        </w:rPr>
      </w:pPr>
    </w:p>
    <w:p w:rsidR="00DE551D" w:rsidRPr="00DE551D" w:rsidRDefault="00DE551D" w:rsidP="00DE551D">
      <w:pPr>
        <w:rPr>
          <w:sz w:val="24"/>
          <w:szCs w:val="24"/>
        </w:rPr>
      </w:pPr>
      <w:r>
        <w:rPr>
          <w:sz w:val="24"/>
          <w:szCs w:val="24"/>
        </w:rPr>
        <w:t>All filings are to be sent to:</w:t>
      </w:r>
    </w:p>
    <w:p w:rsidR="00DE551D" w:rsidRDefault="00DE551D" w:rsidP="00DE551D">
      <w:pPr>
        <w:rPr>
          <w:sz w:val="24"/>
          <w:szCs w:val="24"/>
        </w:rPr>
      </w:pPr>
    </w:p>
    <w:p w:rsidR="00DE551D" w:rsidRPr="00DE551D" w:rsidRDefault="00DE551D" w:rsidP="00DE551D">
      <w:pPr>
        <w:jc w:val="center"/>
        <w:rPr>
          <w:sz w:val="24"/>
          <w:szCs w:val="24"/>
        </w:rPr>
      </w:pPr>
      <w:r w:rsidRPr="00DE551D">
        <w:rPr>
          <w:sz w:val="24"/>
          <w:szCs w:val="24"/>
        </w:rPr>
        <w:t>CFPB Interstate Land Sales</w:t>
      </w:r>
    </w:p>
    <w:p w:rsidR="00DE551D" w:rsidRPr="00DE551D" w:rsidRDefault="00DE551D" w:rsidP="00DE551D">
      <w:pPr>
        <w:jc w:val="center"/>
        <w:rPr>
          <w:sz w:val="24"/>
          <w:szCs w:val="24"/>
        </w:rPr>
      </w:pPr>
      <w:proofErr w:type="gramStart"/>
      <w:r w:rsidRPr="00DE551D">
        <w:rPr>
          <w:sz w:val="24"/>
          <w:szCs w:val="24"/>
        </w:rPr>
        <w:t>c/o</w:t>
      </w:r>
      <w:proofErr w:type="gramEnd"/>
      <w:r w:rsidRPr="00DE551D">
        <w:rPr>
          <w:sz w:val="24"/>
          <w:szCs w:val="24"/>
        </w:rPr>
        <w:t xml:space="preserve"> Armedia LLC</w:t>
      </w:r>
    </w:p>
    <w:p w:rsidR="00DE551D" w:rsidRPr="00DE551D" w:rsidRDefault="00DE551D" w:rsidP="00DE551D">
      <w:pPr>
        <w:jc w:val="center"/>
        <w:rPr>
          <w:sz w:val="24"/>
          <w:szCs w:val="24"/>
        </w:rPr>
      </w:pPr>
      <w:r w:rsidRPr="00DE551D">
        <w:rPr>
          <w:sz w:val="24"/>
          <w:szCs w:val="24"/>
        </w:rPr>
        <w:t>8221 Old Courthouse Road, Suite 300</w:t>
      </w:r>
    </w:p>
    <w:p w:rsidR="00DE551D" w:rsidRPr="00DE551D" w:rsidRDefault="00DE551D" w:rsidP="00DE551D">
      <w:pPr>
        <w:jc w:val="center"/>
        <w:rPr>
          <w:sz w:val="24"/>
          <w:szCs w:val="24"/>
        </w:rPr>
      </w:pPr>
      <w:r w:rsidRPr="00DE551D">
        <w:rPr>
          <w:sz w:val="24"/>
          <w:szCs w:val="24"/>
        </w:rPr>
        <w:t>Vienna, VA 22182</w:t>
      </w:r>
    </w:p>
    <w:p w:rsidR="00DE551D" w:rsidRPr="00DE551D" w:rsidRDefault="00DE551D" w:rsidP="00DE551D">
      <w:pPr>
        <w:jc w:val="center"/>
        <w:rPr>
          <w:sz w:val="24"/>
          <w:szCs w:val="24"/>
        </w:rPr>
      </w:pPr>
    </w:p>
    <w:p w:rsidR="000E5F2B" w:rsidRPr="00DE551D" w:rsidRDefault="000E5F2B" w:rsidP="00DE551D">
      <w:pPr>
        <w:rPr>
          <w:sz w:val="24"/>
          <w:szCs w:val="24"/>
        </w:rPr>
      </w:pPr>
    </w:p>
    <w:sectPr w:rsidR="000E5F2B" w:rsidRPr="00DE551D">
      <w:headerReference w:type="default" r:id="rId10"/>
      <w:footerReference w:type="even" r:id="rId11"/>
      <w:footerReference w:type="default" r:id="rId12"/>
      <w:headerReference w:type="first" r:id="rId13"/>
      <w:footerReference w:type="first" r:id="rId14"/>
      <w:footnotePr>
        <w:numRestart w:val="eachPage"/>
      </w:footnotePr>
      <w:type w:val="continuous"/>
      <w:pgSz w:w="12240" w:h="15840" w:code="1"/>
      <w:pgMar w:top="720" w:right="1008" w:bottom="72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AB" w:rsidRDefault="00FF0BAB">
      <w:r>
        <w:separator/>
      </w:r>
    </w:p>
  </w:endnote>
  <w:endnote w:type="continuationSeparator" w:id="0">
    <w:p w:rsidR="00FF0BAB" w:rsidRDefault="00FF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F2" w:rsidRDefault="00CD7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D73F2" w:rsidRDefault="00CD73F2">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F2" w:rsidRDefault="00E5297F">
    <w:pPr>
      <w:pStyle w:val="Footer"/>
      <w:ind w:right="360"/>
    </w:pPr>
    <w:r>
      <w:t xml:space="preserve">FORM E                                                                                        </w:t>
    </w:r>
    <w:r w:rsidR="000E5F2B">
      <w:t>10-1-2013</w:t>
    </w:r>
    <w:r w:rsidR="00CD73F2">
      <w:t xml:space="preserve"> </w:t>
    </w:r>
    <w:r w:rsidR="00CD73F2">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2F" w:rsidRDefault="00CD73F2">
    <w:pPr>
      <w:pStyle w:val="Footer"/>
    </w:pPr>
    <w:r>
      <w:t xml:space="preserve">FORM E                         </w:t>
    </w:r>
    <w:r w:rsidR="001C5E2F">
      <w:t xml:space="preserve">                     </w:t>
    </w:r>
  </w:p>
  <w:p w:rsidR="00CD73F2" w:rsidRDefault="001C5E2F">
    <w:pPr>
      <w:pStyle w:val="Footer"/>
    </w:pPr>
    <w:r>
      <w:t>10-</w:t>
    </w:r>
    <w:r w:rsidR="00E5297F">
      <w:t>0</w:t>
    </w:r>
    <w:r>
      <w:t>1-</w:t>
    </w:r>
    <w:r w:rsidR="00E5297F">
      <w:t>2013</w:t>
    </w:r>
    <w:r w:rsidR="00CD73F2">
      <w:tab/>
      <w:t xml:space="preserve">                        </w:t>
    </w:r>
    <w:r w:rsidR="00CD73F2">
      <w:rPr>
        <w:rStyle w:val="PageNumber"/>
      </w:rPr>
      <w:fldChar w:fldCharType="begin"/>
    </w:r>
    <w:r w:rsidR="00CD73F2">
      <w:rPr>
        <w:rStyle w:val="PageNumber"/>
      </w:rPr>
      <w:instrText xml:space="preserve"> PAGE </w:instrText>
    </w:r>
    <w:r w:rsidR="00CD73F2">
      <w:rPr>
        <w:rStyle w:val="PageNumber"/>
      </w:rPr>
      <w:fldChar w:fldCharType="separate"/>
    </w:r>
    <w:r w:rsidR="005D43FF">
      <w:rPr>
        <w:rStyle w:val="PageNumber"/>
        <w:noProof/>
      </w:rPr>
      <w:t>1</w:t>
    </w:r>
    <w:r w:rsidR="00CD73F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AB" w:rsidRDefault="00FF0BAB">
      <w:r>
        <w:separator/>
      </w:r>
    </w:p>
  </w:footnote>
  <w:footnote w:type="continuationSeparator" w:id="0">
    <w:p w:rsidR="00FF0BAB" w:rsidRDefault="00FF0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F2" w:rsidRDefault="00CD73F2">
    <w:pPr>
      <w:pStyle w:val="Header"/>
    </w:pPr>
    <w:r>
      <w:rPr>
        <w:vanish/>
      </w:rPr>
      <w:t xml:space="preserve">UD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F2" w:rsidRDefault="00CD73F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3FE0"/>
    <w:multiLevelType w:val="singleLevel"/>
    <w:tmpl w:val="5200411A"/>
    <w:lvl w:ilvl="0">
      <w:start w:val="3"/>
      <w:numFmt w:val="upperRoman"/>
      <w:lvlText w:val="%1. "/>
      <w:legacy w:legacy="1" w:legacySpace="0" w:legacyIndent="360"/>
      <w:lvlJc w:val="left"/>
      <w:pPr>
        <w:ind w:left="720" w:hanging="360"/>
      </w:pPr>
      <w:rPr>
        <w:rFonts w:ascii="Times New Roman" w:hAnsi="Times New Roman" w:hint="default"/>
        <w:b w:val="0"/>
        <w:i w:val="0"/>
        <w:sz w:val="24"/>
        <w:u w:val="none"/>
      </w:rPr>
    </w:lvl>
  </w:abstractNum>
  <w:abstractNum w:abstractNumId="1">
    <w:nsid w:val="2E81513B"/>
    <w:multiLevelType w:val="singleLevel"/>
    <w:tmpl w:val="F1003A08"/>
    <w:lvl w:ilvl="0">
      <w:start w:val="1"/>
      <w:numFmt w:val="upperLetter"/>
      <w:lvlText w:val="%1. "/>
      <w:legacy w:legacy="1" w:legacySpace="0" w:legacyIndent="360"/>
      <w:lvlJc w:val="left"/>
      <w:pPr>
        <w:ind w:left="1440" w:hanging="360"/>
      </w:pPr>
      <w:rPr>
        <w:rFonts w:ascii="Times New Roman" w:hAnsi="Times New Roman" w:hint="default"/>
        <w:b w:val="0"/>
        <w:i w:val="0"/>
        <w:sz w:val="24"/>
        <w:u w:val="none"/>
      </w:rPr>
    </w:lvl>
  </w:abstractNum>
  <w:abstractNum w:abstractNumId="2">
    <w:nsid w:val="4D5C1501"/>
    <w:multiLevelType w:val="singleLevel"/>
    <w:tmpl w:val="02281D56"/>
    <w:lvl w:ilvl="0">
      <w:start w:val="2"/>
      <w:numFmt w:val="upperLetter"/>
      <w:lvlText w:val="%1. "/>
      <w:legacy w:legacy="1" w:legacySpace="0" w:legacyIndent="360"/>
      <w:lvlJc w:val="left"/>
      <w:pPr>
        <w:ind w:left="1440" w:hanging="360"/>
      </w:pPr>
      <w:rPr>
        <w:rFonts w:ascii="Times New Roman" w:hAnsi="Times New Roman" w:hint="default"/>
        <w:b w:val="0"/>
        <w:i w:val="0"/>
        <w:sz w:val="24"/>
        <w:u w:val="none"/>
      </w:rPr>
    </w:lvl>
  </w:abstractNum>
  <w:abstractNum w:abstractNumId="3">
    <w:nsid w:val="56677BAD"/>
    <w:multiLevelType w:val="singleLevel"/>
    <w:tmpl w:val="02002FE0"/>
    <w:lvl w:ilvl="0">
      <w:start w:val="3"/>
      <w:numFmt w:val="decimal"/>
      <w:lvlText w:val="%1. "/>
      <w:legacy w:legacy="1" w:legacySpace="0" w:legacyIndent="360"/>
      <w:lvlJc w:val="left"/>
      <w:pPr>
        <w:ind w:left="2160" w:hanging="360"/>
      </w:pPr>
      <w:rPr>
        <w:rFonts w:ascii="Times New Roman" w:hAnsi="Times New Roman" w:hint="default"/>
        <w:b w:val="0"/>
        <w:i w:val="0"/>
        <w:sz w:val="24"/>
        <w:u w:val="none"/>
      </w:rPr>
    </w:lvl>
  </w:abstractNum>
  <w:abstractNum w:abstractNumId="4">
    <w:nsid w:val="5F97686F"/>
    <w:multiLevelType w:val="singleLevel"/>
    <w:tmpl w:val="7F3CA84E"/>
    <w:lvl w:ilvl="0">
      <w:start w:val="1"/>
      <w:numFmt w:val="upperRoman"/>
      <w:lvlText w:val="%1. "/>
      <w:legacy w:legacy="1" w:legacySpace="0" w:legacyIndent="360"/>
      <w:lvlJc w:val="left"/>
      <w:pPr>
        <w:ind w:left="720" w:hanging="360"/>
      </w:pPr>
      <w:rPr>
        <w:rFonts w:ascii="Times New Roman" w:hAnsi="Times New Roman" w:hint="default"/>
        <w:b w:val="0"/>
        <w:i w:val="0"/>
        <w:sz w:val="24"/>
        <w:u w:val="none"/>
      </w:rPr>
    </w:lvl>
  </w:abstractNum>
  <w:abstractNum w:abstractNumId="5">
    <w:nsid w:val="6DE65974"/>
    <w:multiLevelType w:val="singleLevel"/>
    <w:tmpl w:val="21146B02"/>
    <w:lvl w:ilvl="0">
      <w:start w:val="1"/>
      <w:numFmt w:val="decimal"/>
      <w:lvlText w:val="%1."/>
      <w:legacy w:legacy="1" w:legacySpace="0" w:legacyIndent="360"/>
      <w:lvlJc w:val="left"/>
      <w:pPr>
        <w:ind w:left="2160" w:hanging="360"/>
      </w:pPr>
    </w:lvl>
  </w:abstractNum>
  <w:abstractNum w:abstractNumId="6">
    <w:nsid w:val="78E94A82"/>
    <w:multiLevelType w:val="singleLevel"/>
    <w:tmpl w:val="69601654"/>
    <w:lvl w:ilvl="0">
      <w:start w:val="4"/>
      <w:numFmt w:val="upperRoman"/>
      <w:lvlText w:val="%1. "/>
      <w:legacy w:legacy="1" w:legacySpace="0" w:legacyIndent="360"/>
      <w:lvlJc w:val="left"/>
      <w:pPr>
        <w:ind w:left="720" w:hanging="360"/>
      </w:pPr>
      <w:rPr>
        <w:rFonts w:ascii="Times New Roman" w:hAnsi="Times New Roman" w:hint="default"/>
        <w:b w:val="0"/>
        <w:i w:val="0"/>
        <w:sz w:val="24"/>
        <w:u w:val="none"/>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B7"/>
    <w:rsid w:val="00001357"/>
    <w:rsid w:val="000E5F2B"/>
    <w:rsid w:val="001C5E2F"/>
    <w:rsid w:val="002A307A"/>
    <w:rsid w:val="0034024A"/>
    <w:rsid w:val="003A4B8C"/>
    <w:rsid w:val="005A6C34"/>
    <w:rsid w:val="005A6E0F"/>
    <w:rsid w:val="005D43FF"/>
    <w:rsid w:val="00772D4E"/>
    <w:rsid w:val="00844BF8"/>
    <w:rsid w:val="008777B7"/>
    <w:rsid w:val="008F3B1D"/>
    <w:rsid w:val="008F5ED4"/>
    <w:rsid w:val="00A85287"/>
    <w:rsid w:val="00AA6048"/>
    <w:rsid w:val="00AE716A"/>
    <w:rsid w:val="00B956D4"/>
    <w:rsid w:val="00C00BF8"/>
    <w:rsid w:val="00C14CD0"/>
    <w:rsid w:val="00C374D6"/>
    <w:rsid w:val="00C83841"/>
    <w:rsid w:val="00CD73F2"/>
    <w:rsid w:val="00D86A65"/>
    <w:rsid w:val="00DE551D"/>
    <w:rsid w:val="00E5297F"/>
    <w:rsid w:val="00E97B05"/>
    <w:rsid w:val="00FF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keepNext/>
      <w:ind w:left="1440" w:hanging="1440"/>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Continue4">
    <w:name w:val="List Continue 4"/>
    <w:basedOn w:val="Normal"/>
    <w:semiHidden/>
    <w:pPr>
      <w:spacing w:after="120"/>
      <w:ind w:left="144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Subtitle">
    <w:name w:val="Subtitle"/>
    <w:basedOn w:val="Normal"/>
    <w:qFormat/>
    <w:pPr>
      <w:spacing w:after="60"/>
      <w:jc w:val="center"/>
    </w:pPr>
    <w:rPr>
      <w:rFonts w:ascii="Arial" w:hAnsi="Arial"/>
      <w:sz w:val="24"/>
    </w:rPr>
  </w:style>
  <w:style w:type="paragraph" w:styleId="Closing">
    <w:name w:val="Closing"/>
    <w:basedOn w:val="Normal"/>
    <w:semiHidden/>
    <w:pPr>
      <w:ind w:left="43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8777B7"/>
    <w:rPr>
      <w:rFonts w:ascii="Tahoma" w:hAnsi="Tahoma" w:cs="Tahoma"/>
      <w:sz w:val="16"/>
      <w:szCs w:val="16"/>
    </w:rPr>
  </w:style>
  <w:style w:type="character" w:customStyle="1" w:styleId="BalloonTextChar">
    <w:name w:val="Balloon Text Char"/>
    <w:basedOn w:val="DefaultParagraphFont"/>
    <w:link w:val="BalloonText"/>
    <w:uiPriority w:val="99"/>
    <w:semiHidden/>
    <w:rsid w:val="008777B7"/>
    <w:rPr>
      <w:rFonts w:ascii="Tahoma" w:hAnsi="Tahoma" w:cs="Tahoma"/>
      <w:sz w:val="16"/>
      <w:szCs w:val="16"/>
    </w:rPr>
  </w:style>
  <w:style w:type="character" w:styleId="Hyperlink">
    <w:name w:val="Hyperlink"/>
    <w:basedOn w:val="DefaultParagraphFont"/>
    <w:uiPriority w:val="99"/>
    <w:unhideWhenUsed/>
    <w:rsid w:val="000E5F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keepNext/>
      <w:ind w:left="1440" w:hanging="1440"/>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Continue4">
    <w:name w:val="List Continue 4"/>
    <w:basedOn w:val="Normal"/>
    <w:semiHidden/>
    <w:pPr>
      <w:spacing w:after="120"/>
      <w:ind w:left="144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Subtitle">
    <w:name w:val="Subtitle"/>
    <w:basedOn w:val="Normal"/>
    <w:qFormat/>
    <w:pPr>
      <w:spacing w:after="60"/>
      <w:jc w:val="center"/>
    </w:pPr>
    <w:rPr>
      <w:rFonts w:ascii="Arial" w:hAnsi="Arial"/>
      <w:sz w:val="24"/>
    </w:rPr>
  </w:style>
  <w:style w:type="paragraph" w:styleId="Closing">
    <w:name w:val="Closing"/>
    <w:basedOn w:val="Normal"/>
    <w:semiHidden/>
    <w:pPr>
      <w:ind w:left="43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8777B7"/>
    <w:rPr>
      <w:rFonts w:ascii="Tahoma" w:hAnsi="Tahoma" w:cs="Tahoma"/>
      <w:sz w:val="16"/>
      <w:szCs w:val="16"/>
    </w:rPr>
  </w:style>
  <w:style w:type="character" w:customStyle="1" w:styleId="BalloonTextChar">
    <w:name w:val="Balloon Text Char"/>
    <w:basedOn w:val="DefaultParagraphFont"/>
    <w:link w:val="BalloonText"/>
    <w:uiPriority w:val="99"/>
    <w:semiHidden/>
    <w:rsid w:val="008777B7"/>
    <w:rPr>
      <w:rFonts w:ascii="Tahoma" w:hAnsi="Tahoma" w:cs="Tahoma"/>
      <w:sz w:val="16"/>
      <w:szCs w:val="16"/>
    </w:rPr>
  </w:style>
  <w:style w:type="character" w:styleId="Hyperlink">
    <w:name w:val="Hyperlink"/>
    <w:basedOn w:val="DefaultParagraphFont"/>
    <w:uiPriority w:val="99"/>
    <w:unhideWhenUsed/>
    <w:rsid w:val="000E5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6106">
      <w:bodyDiv w:val="1"/>
      <w:marLeft w:val="0"/>
      <w:marRight w:val="0"/>
      <w:marTop w:val="0"/>
      <w:marBottom w:val="0"/>
      <w:divBdr>
        <w:top w:val="none" w:sz="0" w:space="0" w:color="auto"/>
        <w:left w:val="none" w:sz="0" w:space="0" w:color="auto"/>
        <w:bottom w:val="none" w:sz="0" w:space="0" w:color="auto"/>
        <w:right w:val="none" w:sz="0" w:space="0" w:color="auto"/>
      </w:divBdr>
    </w:div>
    <w:div w:id="20974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re.gov"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FPB_ILS_Subdivision_Contacts@cfpb.gov"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ADR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ADRE Letterhead</Template>
  <TotalTime>2</TotalTime>
  <Pages>5</Pages>
  <Words>1012</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Arizona Department of Real Estate</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Carla Randolph</cp:lastModifiedBy>
  <cp:revision>4</cp:revision>
  <cp:lastPrinted>2013-09-26T18:53:00Z</cp:lastPrinted>
  <dcterms:created xsi:type="dcterms:W3CDTF">2013-10-16T17:55:00Z</dcterms:created>
  <dcterms:modified xsi:type="dcterms:W3CDTF">2018-05-21T01:36:00Z</dcterms:modified>
</cp:coreProperties>
</file>